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360" w:lineRule="auto"/>
        <w:ind w:firstLineChars="1850" w:firstLine="5920"/>
        <w:jc w:val="left"/>
        <w:rPr>
          <w:rFonts w:ascii="仿宋_GB2312" w:eastAsia="仿宋_GB2312"/>
          <w:color w:val="000000"/>
          <w:sz w:val="32"/>
          <w:szCs w:val="32"/>
        </w:rPr>
      </w:pPr>
    </w:p>
    <w:p>
      <w:pPr>
        <w:widowControl/>
        <w:spacing w:line="360" w:lineRule="auto"/>
        <w:ind w:firstLineChars="1850" w:firstLine="5920"/>
        <w:jc w:val="left"/>
        <w:rPr>
          <w:rFonts w:ascii="仿宋_GB2312" w:eastAsia="仿宋_GB2312"/>
          <w:color w:val="000000"/>
          <w:sz w:val="32"/>
          <w:szCs w:val="32"/>
        </w:rPr>
      </w:pPr>
    </w:p>
    <w:p>
      <w:pPr>
        <w:widowControl/>
        <w:spacing w:line="360" w:lineRule="auto"/>
        <w:jc w:val="right"/>
        <w:rPr>
          <w:rFonts w:eastAsia="仿宋_GB2312"/>
          <w:color w:val="000000"/>
          <w:sz w:val="32"/>
          <w:szCs w:val="32"/>
        </w:rPr>
      </w:pPr>
      <w:r>
        <w:rPr>
          <w:rFonts w:eastAsia="仿宋_GB2312"/>
          <w:color w:val="000000"/>
          <w:sz w:val="32"/>
          <w:szCs w:val="32"/>
        </w:rPr>
        <w:t>简环建</w:t>
      </w:r>
      <w:r>
        <w:rPr>
          <w:rFonts w:eastAsia="宋体"/>
          <w:color w:val="000000"/>
          <w:sz w:val="32"/>
          <w:szCs w:val="32"/>
        </w:rPr>
        <w:t>﹝</w:t>
      </w:r>
      <w:r>
        <w:rPr>
          <w:rFonts w:eastAsia="仿宋_GB2312"/>
          <w:color w:val="000000"/>
          <w:sz w:val="32"/>
          <w:szCs w:val="32"/>
        </w:rPr>
        <w:t>2019</w:t>
      </w:r>
      <w:r>
        <w:rPr>
          <w:rFonts w:eastAsia="宋体"/>
          <w:color w:val="000000"/>
          <w:sz w:val="32"/>
          <w:szCs w:val="32"/>
        </w:rPr>
        <w:t>﹞</w:t>
      </w:r>
      <w:r>
        <w:rPr>
          <w:rFonts w:eastAsia="仿宋_GB2312"/>
          <w:color w:val="000000"/>
          <w:sz w:val="32"/>
          <w:szCs w:val="32"/>
        </w:rPr>
        <w:t>13号</w:t>
      </w:r>
    </w:p>
    <w:p>
      <w:pPr>
        <w:widowControl/>
        <w:spacing w:line="360" w:lineRule="auto"/>
        <w:ind w:firstLineChars="1700" w:firstLine="5440"/>
        <w:jc w:val="left"/>
        <w:rPr>
          <w:rFonts w:ascii="仿宋_GB2312" w:eastAsia="仿宋_GB2312"/>
          <w:color w:val="000000"/>
          <w:sz w:val="32"/>
          <w:szCs w:val="32"/>
        </w:rPr>
      </w:pPr>
    </w:p>
    <w:p>
      <w:pPr>
        <w:widowControl/>
        <w:spacing w:line="360" w:lineRule="auto"/>
        <w:jc w:val="center"/>
        <w:rPr>
          <w:rFonts w:ascii="黑体" w:eastAsia="黑体"/>
          <w:color w:val="000000"/>
          <w:sz w:val="36"/>
          <w:szCs w:val="36"/>
        </w:rPr>
      </w:pPr>
      <w:r>
        <w:rPr>
          <w:rFonts w:ascii="黑体" w:eastAsia="黑体" w:hint="eastAsia"/>
          <w:color w:val="000000"/>
          <w:sz w:val="36"/>
          <w:szCs w:val="36"/>
        </w:rPr>
        <w:t>简阳市环境保护局</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关于</w:t>
      </w:r>
      <w:r>
        <w:rPr>
          <w:rFonts w:ascii="黑体" w:eastAsia="黑体"/>
          <w:color w:val="000000"/>
          <w:sz w:val="36"/>
          <w:szCs w:val="36"/>
        </w:rPr>
        <w:t>简阳市绛溪河流域污染综合治理项目</w:t>
      </w:r>
    </w:p>
    <w:p>
      <w:pPr>
        <w:widowControl/>
        <w:spacing w:line="360" w:lineRule="auto"/>
        <w:jc w:val="center"/>
        <w:rPr>
          <w:rFonts w:ascii="黑体" w:eastAsia="黑体"/>
          <w:color w:val="000000"/>
          <w:sz w:val="36"/>
          <w:szCs w:val="36"/>
        </w:rPr>
      </w:pPr>
      <w:r>
        <w:rPr>
          <w:rFonts w:ascii="黑体" w:eastAsia="黑体" w:hint="eastAsia"/>
          <w:color w:val="000000"/>
          <w:sz w:val="36"/>
          <w:szCs w:val="36"/>
        </w:rPr>
        <w:t>环境影响报告表的批复</w:t>
      </w:r>
    </w:p>
    <w:p>
      <w:pPr>
        <w:spacing w:line="560" w:lineRule="exact"/>
        <w:ind w:firstLineChars="200" w:firstLine="640"/>
        <w:rPr>
          <w:rFonts w:ascii="仿宋_GB2312" w:eastAsia="仿宋_GB2312"/>
          <w:color w:val="000000"/>
          <w:sz w:val="32"/>
          <w:szCs w:val="32"/>
        </w:rPr>
      </w:pPr>
    </w:p>
    <w:p>
      <w:pPr>
        <w:spacing w:line="600" w:lineRule="exact"/>
        <w:rPr>
          <w:rFonts w:ascii="仿宋" w:eastAsia="仿宋"/>
          <w:color w:val="000000"/>
          <w:sz w:val="32"/>
          <w:szCs w:val="32"/>
        </w:rPr>
      </w:pPr>
      <w:r>
        <w:rPr>
          <w:rFonts w:ascii="仿宋" w:eastAsia="仿宋"/>
          <w:color w:val="000000"/>
          <w:sz w:val="32"/>
          <w:szCs w:val="32"/>
        </w:rPr>
        <w:t>简阳市环境保护局</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你单位报送的《</w:t>
      </w:r>
      <w:r>
        <w:rPr>
          <w:rFonts w:ascii="仿宋" w:eastAsia="仿宋"/>
          <w:color w:val="000000"/>
          <w:sz w:val="32"/>
          <w:szCs w:val="32"/>
        </w:rPr>
        <w:t>简阳市绛溪河流域污染综合治理项目</w:t>
      </w:r>
      <w:r>
        <w:rPr>
          <w:rFonts w:ascii="仿宋" w:eastAsia="仿宋" w:hint="eastAsia"/>
          <w:color w:val="000000"/>
          <w:sz w:val="32"/>
          <w:szCs w:val="32"/>
        </w:rPr>
        <w:t>环境影响报告表》及专家意见已收悉。经研究，现批复如下：</w:t>
      </w:r>
    </w:p>
    <w:p>
      <w:pPr>
        <w:autoSpaceDE w:val="0"/>
        <w:autoSpaceDN w:val="0"/>
        <w:adjustRightInd w:val="0"/>
        <w:spacing w:line="60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一、</w:t>
      </w:r>
      <w:r>
        <w:rPr>
          <w:rFonts w:ascii="仿宋_GB2312" w:eastAsia="仿宋_GB2312" w:cs="宋体"/>
          <w:color w:val="000000"/>
          <w:kern w:val="0"/>
          <w:sz w:val="32"/>
          <w:szCs w:val="32"/>
        </w:rPr>
        <w:t>项目基本情况</w:t>
      </w:r>
    </w:p>
    <w:p>
      <w:pPr>
        <w:autoSpaceDE w:val="0"/>
        <w:autoSpaceDN w:val="0"/>
        <w:adjustRightInd w:val="0"/>
        <w:spacing w:line="600" w:lineRule="exact"/>
        <w:ind w:firstLineChars="200" w:firstLine="64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该项目位于</w:t>
      </w:r>
      <w:r>
        <w:rPr>
          <w:rFonts w:ascii="仿宋_GB2312" w:eastAsia="仿宋_GB2312" w:cs="宋体"/>
          <w:color w:val="000000"/>
          <w:kern w:val="0"/>
          <w:sz w:val="32"/>
          <w:szCs w:val="32"/>
        </w:rPr>
        <w:t>简阳市绛溪河流域简城街道办、贾家镇、石桥镇、太平桥镇、老君井乡、高明乡</w:t>
      </w:r>
      <w:r>
        <w:rPr>
          <w:rFonts w:ascii="仿宋_GB2312" w:eastAsia="仿宋_GB2312" w:cs="宋体" w:hint="eastAsia"/>
          <w:color w:val="000000"/>
          <w:kern w:val="0"/>
          <w:sz w:val="32"/>
          <w:szCs w:val="32"/>
        </w:rPr>
        <w:t>。</w:t>
      </w:r>
      <w:r>
        <w:rPr>
          <w:rFonts w:ascii="仿宋_GB2312" w:eastAsia="仿宋_GB2312" w:cs="宋体"/>
          <w:color w:val="000000"/>
          <w:kern w:val="0"/>
          <w:sz w:val="32"/>
          <w:szCs w:val="32"/>
        </w:rPr>
        <w:t>项目于2015年9月取得了简阳市环境保护局下发的《关于简阳市绛溪河流域污染综合治理项目环境影响报告表的批复》（简环建</w:t>
      </w:r>
      <w:r>
        <w:rPr>
          <w:rFonts w:ascii="宋体" w:eastAsia="宋体" w:hint="eastAsia"/>
          <w:bCs/>
          <w:sz w:val="32"/>
          <w:szCs w:val="32"/>
        </w:rPr>
        <w:t>﹝</w:t>
      </w:r>
      <w:r>
        <w:rPr>
          <w:rFonts w:ascii="仿宋" w:eastAsia="仿宋" w:hint="eastAsia"/>
          <w:bCs/>
          <w:sz w:val="32"/>
          <w:szCs w:val="32"/>
        </w:rPr>
        <w:t>201</w:t>
      </w:r>
      <w:r>
        <w:rPr>
          <w:rFonts w:ascii="仿宋" w:eastAsia="仿宋"/>
          <w:bCs/>
          <w:sz w:val="32"/>
          <w:szCs w:val="32"/>
        </w:rPr>
        <w:t>5</w:t>
      </w:r>
      <w:r>
        <w:rPr>
          <w:rFonts w:ascii="宋体" w:eastAsia="宋体" w:hint="eastAsia"/>
          <w:bCs/>
          <w:sz w:val="32"/>
          <w:szCs w:val="32"/>
        </w:rPr>
        <w:t>﹞</w:t>
      </w:r>
      <w:r>
        <w:rPr>
          <w:rFonts w:ascii="仿宋_GB2312" w:eastAsia="仿宋_GB2312" w:cs="宋体"/>
          <w:color w:val="000000"/>
          <w:kern w:val="0"/>
          <w:sz w:val="32"/>
          <w:szCs w:val="32"/>
        </w:rPr>
        <w:t>124号），在取得环评批复后，随着市场经济的发展，城市的地位和功能发生了显著变化，2018年9月简阳市环境保护局对《简阳市绛溪河流域污染综合治理项目》部分建设内容进行了调整，调整后</w:t>
      </w:r>
      <w:r>
        <w:rPr>
          <w:rFonts w:ascii="仿宋_GB2312" w:eastAsia="仿宋_GB2312" w:cs="宋体" w:hint="eastAsia"/>
          <w:color w:val="000000"/>
          <w:kern w:val="0"/>
          <w:sz w:val="32"/>
          <w:szCs w:val="32"/>
        </w:rPr>
        <w:t>项目主要建设内容：</w:t>
      </w:r>
      <w:r>
        <w:rPr>
          <w:rFonts w:ascii="仿宋_GB2312" w:eastAsia="仿宋_GB2312" w:cs="宋体"/>
          <w:color w:val="000000"/>
          <w:kern w:val="0"/>
          <w:sz w:val="32"/>
          <w:szCs w:val="32"/>
        </w:rPr>
        <w:t>在石桥镇赤水场镇建设生活污水处理厂100m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/d和200m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d各1座，管网长3km；在流域6个乡镇建垃圾收、转运设施，其中垃圾房3座、垃圾桶1613个、垃圾池299座、垃圾周转箱4个、垃圾集装箱5个、小型垃圾清运车10辆、中型垃圾清运车11辆；在简城、石桥等6个乡镇共建设26个、约11.23万m</w:t>
      </w:r>
      <w:r>
        <w:rPr>
          <w:rFonts w:ascii="仿宋_GB2312" w:eastAsia="仿宋_GB2312" w:cs="宋体"/>
          <w:color w:val="000000"/>
          <w:kern w:val="0"/>
          <w:sz w:val="32"/>
          <w:szCs w:val="32"/>
          <w:vertAlign w:val="superscript"/>
        </w:rPr>
        <w:t>2</w:t>
      </w:r>
      <w:r>
        <w:rPr>
          <w:rFonts w:ascii="仿宋_GB2312" w:eastAsia="仿宋_GB2312" w:cs="宋体"/>
          <w:color w:val="000000"/>
          <w:kern w:val="0"/>
          <w:sz w:val="32"/>
          <w:szCs w:val="32"/>
        </w:rPr>
        <w:t>入河湿地；对6.99万m</w:t>
      </w:r>
      <w:r>
        <w:rPr>
          <w:rFonts w:ascii="仿宋_GB2312" w:eastAsia="仿宋_GB2312" w:cs="宋体"/>
          <w:color w:val="000000"/>
          <w:kern w:val="0"/>
          <w:sz w:val="32"/>
          <w:szCs w:val="32"/>
          <w:vertAlign w:val="superscript"/>
        </w:rPr>
        <w:t>2</w:t>
      </w:r>
      <w:r>
        <w:rPr>
          <w:rFonts w:ascii="仿宋_GB2312" w:eastAsia="仿宋_GB2312" w:cs="宋体"/>
          <w:color w:val="000000"/>
          <w:kern w:val="0"/>
          <w:sz w:val="32"/>
          <w:szCs w:val="32"/>
        </w:rPr>
        <w:t>河道护坡进行植物清理、砌体修复、护坡整理、生态群落修复；对河流水生态系统采取河底清淤（4.43万m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）、基底改良（22.13万m</w:t>
      </w:r>
      <w:r>
        <w:rPr>
          <w:rFonts w:ascii="仿宋_GB2312" w:eastAsia="仿宋_GB2312" w:cs="宋体"/>
          <w:color w:val="000000"/>
          <w:kern w:val="0"/>
          <w:sz w:val="32"/>
          <w:szCs w:val="32"/>
          <w:vertAlign w:val="superscript"/>
        </w:rPr>
        <w:t>2</w:t>
      </w:r>
      <w:r>
        <w:rPr>
          <w:rFonts w:ascii="仿宋_GB2312" w:eastAsia="仿宋_GB2312" w:cs="宋体"/>
          <w:color w:val="000000"/>
          <w:kern w:val="0"/>
          <w:sz w:val="32"/>
          <w:szCs w:val="32"/>
        </w:rPr>
        <w:t>）、沉水植物及鱼类等生物群落构建（22.13万m</w:t>
      </w:r>
      <w:r>
        <w:rPr>
          <w:rFonts w:ascii="仿宋_GB2312" w:eastAsia="仿宋_GB2312" w:cs="宋体"/>
          <w:color w:val="000000"/>
          <w:kern w:val="0"/>
          <w:sz w:val="32"/>
          <w:szCs w:val="32"/>
          <w:vertAlign w:val="superscript"/>
        </w:rPr>
        <w:t>2</w:t>
      </w:r>
      <w:r>
        <w:rPr>
          <w:rFonts w:ascii="仿宋_GB2312" w:eastAsia="仿宋_GB2312" w:cs="宋体"/>
          <w:color w:val="000000"/>
          <w:kern w:val="0"/>
          <w:sz w:val="32"/>
          <w:szCs w:val="32"/>
        </w:rPr>
        <w:t>）等方式开展河流水生态系统构建，提升流域水质；建10套一体化污水处理设施，其中2套50m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/d，8套20m</w:t>
      </w:r>
      <w:r>
        <w:rPr>
          <w:rFonts w:ascii="仿宋_GB2312" w:eastAsia="仿宋_GB2312" w:cs="宋体"/>
          <w:color w:val="000000"/>
          <w:kern w:val="0"/>
          <w:sz w:val="32"/>
          <w:szCs w:val="32"/>
          <w:vertAlign w:val="superscript"/>
        </w:rPr>
        <w:t>3</w:t>
      </w:r>
      <w:r>
        <w:rPr>
          <w:rFonts w:ascii="仿宋_GB2312" w:eastAsia="仿宋_GB2312" w:cs="宋体"/>
          <w:color w:val="000000"/>
          <w:kern w:val="0"/>
          <w:sz w:val="32"/>
          <w:szCs w:val="32"/>
        </w:rPr>
        <w:t>/d。</w:t>
      </w:r>
      <w:r>
        <w:rPr>
          <w:rFonts w:ascii="仿宋_GB2312" w:eastAsia="仿宋_GB2312"/>
          <w:sz w:val="32"/>
          <w:szCs w:val="32"/>
        </w:rPr>
        <w:t>项目总投资6542.92</w:t>
      </w:r>
      <w:r>
        <w:rPr>
          <w:rFonts w:ascii="仿宋_GB2312" w:eastAsia="仿宋_GB2312" w:cs="宋体" w:hint="eastAsia"/>
          <w:color w:val="000000"/>
          <w:kern w:val="0"/>
          <w:sz w:val="32"/>
          <w:szCs w:val="32"/>
        </w:rPr>
        <w:t>万元，其中环保设施投资</w:t>
      </w:r>
      <w:r>
        <w:rPr>
          <w:rFonts w:ascii="仿宋_GB2312" w:eastAsia="仿宋_GB2312"/>
          <w:snapToGrid w:val="0"/>
          <w:color w:val="000000"/>
          <w:kern w:val="0"/>
          <w:sz w:val="32"/>
          <w:szCs w:val="32"/>
        </w:rPr>
        <w:t>85</w:t>
      </w:r>
      <w:r>
        <w:rPr>
          <w:rFonts w:ascii="仿宋_GB2312" w:eastAsia="仿宋_GB2312" w:cs="宋体" w:hint="eastAsia"/>
          <w:color w:val="000000"/>
          <w:kern w:val="0"/>
          <w:sz w:val="32"/>
          <w:szCs w:val="32"/>
        </w:rPr>
        <w:t>万元</w:t>
      </w:r>
      <w:r>
        <w:rPr>
          <w:rFonts w:ascii="仿宋_GB2312" w:eastAsia="仿宋_GB2312" w:cs="宋体"/>
          <w:color w:val="000000"/>
          <w:kern w:val="0"/>
          <w:sz w:val="32"/>
          <w:szCs w:val="32"/>
        </w:rPr>
        <w:t>，环保投资占总投资比例1.299%</w:t>
      </w:r>
      <w:r>
        <w:rPr>
          <w:rFonts w:ascii="仿宋_GB2312" w:eastAsia="仿宋_GB2312" w:cs="宋体" w:hint="eastAsia"/>
          <w:color w:val="000000"/>
          <w:kern w:val="0"/>
          <w:sz w:val="32"/>
          <w:szCs w:val="32"/>
        </w:rPr>
        <w:t>。</w:t>
      </w:r>
    </w:p>
    <w:p>
      <w:pPr>
        <w:pStyle w:val="16"/>
        <w:spacing w:line="600" w:lineRule="exact"/>
        <w:rPr>
          <w:rFonts w:ascii="仿宋" w:eastAsia="仿宋"/>
          <w:bCs/>
          <w:sz w:val="32"/>
          <w:szCs w:val="32"/>
        </w:rPr>
      </w:pPr>
      <w:r>
        <w:rPr>
          <w:rFonts w:ascii="仿宋" w:eastAsia="仿宋" w:hint="eastAsia"/>
          <w:bCs/>
          <w:sz w:val="32"/>
          <w:szCs w:val="32"/>
        </w:rPr>
        <w:t>项目取得了简阳市发展和改革局出具的《</w:t>
      </w:r>
      <w:r>
        <w:rPr>
          <w:rFonts w:ascii="仿宋" w:eastAsia="仿宋"/>
          <w:bCs/>
          <w:sz w:val="32"/>
          <w:szCs w:val="32"/>
        </w:rPr>
        <w:t>关于调整简阳市绛溪河流域污染综合治理项目可行性研究报告的批复</w:t>
      </w:r>
      <w:r>
        <w:rPr>
          <w:rFonts w:ascii="仿宋" w:eastAsia="仿宋" w:hint="eastAsia"/>
          <w:bCs/>
          <w:sz w:val="32"/>
          <w:szCs w:val="32"/>
        </w:rPr>
        <w:t>》（简发改发</w:t>
      </w:r>
      <w:r>
        <w:rPr>
          <w:rFonts w:ascii="宋体" w:eastAsia="宋体" w:hint="eastAsia"/>
          <w:bCs/>
          <w:sz w:val="32"/>
          <w:szCs w:val="32"/>
        </w:rPr>
        <w:t>﹝</w:t>
      </w:r>
      <w:r>
        <w:rPr>
          <w:rFonts w:ascii="仿宋" w:eastAsia="仿宋" w:hint="eastAsia"/>
          <w:bCs/>
          <w:sz w:val="32"/>
          <w:szCs w:val="32"/>
        </w:rPr>
        <w:t>201</w:t>
      </w:r>
      <w:r>
        <w:rPr>
          <w:rFonts w:ascii="仿宋" w:eastAsia="仿宋"/>
          <w:bCs/>
          <w:sz w:val="32"/>
          <w:szCs w:val="32"/>
        </w:rPr>
        <w:t>8</w:t>
      </w:r>
      <w:r>
        <w:rPr>
          <w:rFonts w:ascii="宋体" w:eastAsia="宋体" w:hint="eastAsia"/>
          <w:bCs/>
          <w:sz w:val="32"/>
          <w:szCs w:val="32"/>
        </w:rPr>
        <w:t>﹞</w:t>
      </w:r>
      <w:r>
        <w:rPr>
          <w:rFonts w:ascii="仿宋" w:eastAsia="仿宋"/>
          <w:bCs/>
          <w:sz w:val="32"/>
          <w:szCs w:val="32"/>
        </w:rPr>
        <w:t>405</w:t>
      </w:r>
      <w:r>
        <w:rPr>
          <w:rFonts w:ascii="仿宋" w:eastAsia="仿宋" w:hint="eastAsia"/>
          <w:bCs/>
          <w:sz w:val="32"/>
          <w:szCs w:val="32"/>
        </w:rPr>
        <w:t>号），</w:t>
      </w:r>
      <w:r>
        <w:rPr>
          <w:rFonts w:ascii="仿宋" w:eastAsia="仿宋"/>
          <w:bCs/>
          <w:sz w:val="32"/>
          <w:szCs w:val="32"/>
        </w:rPr>
        <w:t>同意本项目建设，符合国家当前产业政策。简阳市水务局为本项目出具了《关于绛溪河流域污染综合治理项目初步设计审查意见的函》（简水函</w:t>
      </w:r>
      <w:r>
        <w:rPr>
          <w:rFonts w:ascii="宋体" w:eastAsia="宋体" w:hint="eastAsia"/>
          <w:bCs/>
          <w:sz w:val="32"/>
          <w:szCs w:val="32"/>
        </w:rPr>
        <w:t>﹝</w:t>
      </w:r>
      <w:r>
        <w:rPr>
          <w:rFonts w:ascii="仿宋" w:eastAsia="仿宋" w:hint="eastAsia"/>
          <w:bCs/>
          <w:sz w:val="32"/>
          <w:szCs w:val="32"/>
        </w:rPr>
        <w:t>201</w:t>
      </w:r>
      <w:r>
        <w:rPr>
          <w:rFonts w:ascii="仿宋" w:eastAsia="仿宋"/>
          <w:bCs/>
          <w:sz w:val="32"/>
          <w:szCs w:val="32"/>
        </w:rPr>
        <w:t>8</w:t>
      </w:r>
      <w:r>
        <w:rPr>
          <w:rFonts w:ascii="宋体" w:eastAsia="宋体" w:hint="eastAsia"/>
          <w:bCs/>
          <w:sz w:val="32"/>
          <w:szCs w:val="32"/>
        </w:rPr>
        <w:t>﹞</w:t>
      </w:r>
      <w:r>
        <w:rPr>
          <w:rFonts w:ascii="仿宋" w:eastAsia="仿宋"/>
          <w:bCs/>
          <w:sz w:val="32"/>
          <w:szCs w:val="32"/>
        </w:rPr>
        <w:t>318号），项目的建设符合简阳市用地规划。项目选址符合《中华人民共和国水污染防治法》以及《四川省饮用水水源保护管理条例》中相关要求，项目选址合理可行</w:t>
      </w:r>
      <w:r>
        <w:rPr>
          <w:rFonts w:ascii="仿宋" w:eastAsia="仿宋" w:hint="eastAsia"/>
          <w:bCs/>
          <w:sz w:val="32"/>
          <w:szCs w:val="32"/>
        </w:rPr>
        <w:t>。在落实报</w:t>
      </w:r>
      <w:r>
        <w:rPr>
          <w:rFonts w:ascii="仿宋" w:eastAsia="仿宋" w:hint="eastAsia"/>
          <w:color w:val="000000"/>
          <w:sz w:val="32"/>
          <w:szCs w:val="32"/>
        </w:rPr>
        <w:t>告表提出的防止生态破坏和环境污染的措施后，不利环境影响可得到减缓和控制。因此，我局同意</w:t>
      </w:r>
      <w:r>
        <w:rPr>
          <w:rFonts w:ascii="仿宋" w:eastAsia="仿宋"/>
          <w:color w:val="000000"/>
          <w:sz w:val="32"/>
          <w:szCs w:val="32"/>
        </w:rPr>
        <w:t>你单位</w:t>
      </w:r>
      <w:r>
        <w:rPr>
          <w:rFonts w:ascii="仿宋" w:eastAsia="仿宋" w:hint="eastAsia"/>
          <w:color w:val="000000"/>
          <w:sz w:val="32"/>
          <w:szCs w:val="32"/>
        </w:rPr>
        <w:t>按照报告表中所列建设项目的性质、规模、地点、选线、环境保护对策措施及下述要求进行建设。</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二、项目建设应重点做好以下工作</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Pr>
          <w:rFonts w:ascii="仿宋" w:eastAsia="仿宋" w:cs="仿宋_GB2312" w:hint="eastAsia"/>
          <w:color w:val="000000"/>
          <w:sz w:val="32"/>
          <w:szCs w:val="32"/>
        </w:rPr>
        <w:t>严格按“报告表”要求落实各项环保设施的建设，加强环保设施的日常管理和维护，确保环保设施正常运转及各类污染物稳定达标排放，杜绝事故排放。</w:t>
      </w:r>
    </w:p>
    <w:p>
      <w:pPr>
        <w:spacing w:line="60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（二）落实废</w:t>
      </w:r>
      <w:r>
        <w:rPr>
          <w:rFonts w:ascii="仿宋_GB2312" w:eastAsia="仿宋_GB2312" w:hint="eastAsia"/>
          <w:color w:val="000000"/>
          <w:kern w:val="0"/>
          <w:sz w:val="32"/>
          <w:szCs w:val="32"/>
        </w:rPr>
        <w:t>水处理措施。施工期</w:t>
      </w:r>
      <w:r>
        <w:rPr>
          <w:rFonts w:ascii="仿宋_GB2312" w:eastAsia="仿宋_GB2312"/>
          <w:color w:val="000000"/>
          <w:kern w:val="0"/>
          <w:sz w:val="32"/>
          <w:szCs w:val="32"/>
        </w:rPr>
        <w:t>，生活污水利用周边居民既有旱厕收集后资源化再利用；污水处理厂及配套工程产生的生产废水、试验废水经沉淀池处理后用于场内降尘不外排。运营期，污水处理厂生活污水收集至污水处理厂处理后达标排放；生活垃圾收运工程产生的垃圾渗滤液经吸污车收集后密闭送至石桥镇赤水场镇污水处理厂处理后达标排放。</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（三）落实“报告表”提出的废气</w:t>
      </w:r>
      <w:r>
        <w:rPr>
          <w:rFonts w:ascii="仿宋_GB2312" w:eastAsia="仿宋_GB2312" w:hint="eastAsia"/>
          <w:color w:val="000000"/>
          <w:sz w:val="32"/>
          <w:szCs w:val="32"/>
        </w:rPr>
        <w:t>治理措施，确保大气污染物达标排放。施工期，</w:t>
      </w:r>
      <w:r>
        <w:rPr>
          <w:rFonts w:ascii="仿宋" w:eastAsia="仿宋" w:hint="eastAsia"/>
          <w:color w:val="000000"/>
          <w:kern w:val="0"/>
          <w:sz w:val="32"/>
          <w:szCs w:val="32"/>
        </w:rPr>
        <w:t>严格按照国务院《大气污染防治行动计划》</w:t>
      </w:r>
      <w:r>
        <w:rPr>
          <w:rFonts w:ascii="仿宋" w:eastAsia="仿宋"/>
          <w:color w:val="000000"/>
          <w:kern w:val="0"/>
          <w:sz w:val="32"/>
          <w:szCs w:val="32"/>
        </w:rPr>
        <w:t>、</w:t>
      </w:r>
      <w:r>
        <w:rPr>
          <w:rFonts w:ascii="仿宋" w:eastAsia="仿宋" w:hint="eastAsia"/>
          <w:color w:val="000000"/>
          <w:kern w:val="0"/>
          <w:sz w:val="32"/>
          <w:szCs w:val="32"/>
        </w:rPr>
        <w:t>《四川省灰霾污染防治实施方案》（川办发[2013]78号）</w:t>
      </w:r>
      <w:r>
        <w:rPr>
          <w:rFonts w:ascii="仿宋" w:eastAsia="仿宋"/>
          <w:color w:val="000000"/>
          <w:kern w:val="0"/>
          <w:sz w:val="32"/>
          <w:szCs w:val="32"/>
        </w:rPr>
        <w:t>相关要求</w:t>
      </w:r>
      <w:r>
        <w:rPr>
          <w:rFonts w:ascii="仿宋_GB2312" w:eastAsia="仿宋_GB2312" w:hint="eastAsia"/>
          <w:color w:val="000000"/>
          <w:sz w:val="32"/>
          <w:szCs w:val="32"/>
        </w:rPr>
        <w:t>采取防尘措施。营运期，</w:t>
      </w:r>
      <w:r>
        <w:rPr>
          <w:rFonts w:ascii="仿宋_GB2312" w:eastAsia="仿宋_GB2312"/>
          <w:color w:val="000000"/>
          <w:sz w:val="32"/>
          <w:szCs w:val="32"/>
        </w:rPr>
        <w:t>污水处理厂恶臭气体经活性炭吸附后再经1根15m高排气筒达标排放；垃圾房恶臭气体通过采取生活垃圾日产日清、渗滤液收集池加盖密闭、垃圾清运车及时清扫整理等防治措施处理后达标排放。</w:t>
      </w:r>
    </w:p>
    <w:p>
      <w:pPr>
        <w:spacing w:line="60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（四）</w:t>
      </w:r>
      <w:r>
        <w:rPr>
          <w:rFonts w:ascii="仿宋_GB2312" w:eastAsia="仿宋_GB2312"/>
          <w:color w:val="000000"/>
          <w:sz w:val="32"/>
          <w:szCs w:val="32"/>
        </w:rPr>
        <w:t>严格</w:t>
      </w:r>
      <w:r>
        <w:rPr>
          <w:rFonts w:ascii="仿宋_GB2312" w:eastAsia="仿宋_GB2312" w:hint="eastAsia"/>
          <w:kern w:val="0"/>
          <w:sz w:val="32"/>
          <w:szCs w:val="32"/>
        </w:rPr>
        <w:t>落实噪声污染控制措施，</w:t>
      </w:r>
      <w:r>
        <w:rPr>
          <w:rFonts w:ascii="仿宋_GB2312" w:eastAsia="仿宋_GB2312" w:hint="eastAsia"/>
          <w:color w:val="000000"/>
          <w:sz w:val="32"/>
          <w:szCs w:val="32"/>
        </w:rPr>
        <w:t>加强施工期噪声污染控制，选用低噪声</w:t>
      </w:r>
      <w:r>
        <w:rPr>
          <w:rFonts w:ascii="仿宋_GB2312" w:eastAsia="仿宋_GB2312"/>
          <w:color w:val="000000"/>
          <w:sz w:val="32"/>
          <w:szCs w:val="32"/>
        </w:rPr>
        <w:t>设备，</w:t>
      </w:r>
      <w:r>
        <w:rPr>
          <w:rFonts w:ascii="仿宋_GB2312" w:eastAsia="仿宋_GB2312" w:hint="eastAsia"/>
          <w:color w:val="000000"/>
          <w:sz w:val="32"/>
          <w:szCs w:val="32"/>
        </w:rPr>
        <w:t>合理安排施工时间和场地管理,</w:t>
      </w:r>
      <w:r>
        <w:rPr>
          <w:rFonts w:ascii="仿宋_GB2312" w:eastAsia="仿宋_GB2312" w:hint="eastAsia"/>
          <w:kern w:val="0"/>
          <w:sz w:val="32"/>
          <w:szCs w:val="32"/>
        </w:rPr>
        <w:t>禁止噪声扰民、扬尘污染及其他因施工造成的扰民事件。</w:t>
      </w:r>
      <w:r>
        <w:rPr>
          <w:rFonts w:ascii="仿宋_GB2312" w:eastAsia="仿宋_GB2312"/>
          <w:kern w:val="0"/>
          <w:sz w:val="32"/>
          <w:szCs w:val="32"/>
        </w:rPr>
        <w:t>营运期，污水处理厂设备噪声通过合理布局、隔声、基础减震等防治措施处理后达标排放；垃圾转运车噪声通过定期保养、检修等防治措施处理后达标排放。</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w:t>
      </w:r>
      <w:r>
        <w:rPr>
          <w:rFonts w:ascii="仿宋_GB2312" w:eastAsia="仿宋_GB2312" w:hint="eastAsia"/>
          <w:sz w:val="32"/>
          <w:szCs w:val="32"/>
        </w:rPr>
        <w:t>固体废物应严格按照“报告表”中的处置措施落实去向。</w:t>
      </w:r>
      <w:r>
        <w:rPr>
          <w:rFonts w:ascii="仿宋" w:eastAsia="仿宋" w:hint="eastAsia"/>
          <w:color w:val="000000"/>
          <w:kern w:val="0"/>
          <w:sz w:val="32"/>
          <w:szCs w:val="32"/>
        </w:rPr>
        <w:t>施工期</w:t>
      </w:r>
      <w:r>
        <w:rPr>
          <w:rFonts w:ascii="仿宋" w:eastAsia="仿宋"/>
          <w:color w:val="000000"/>
          <w:kern w:val="0"/>
          <w:sz w:val="32"/>
          <w:szCs w:val="32"/>
        </w:rPr>
        <w:t>，污水处理厂及配套管网工程产生的弃方全部用于绿化，生活垃圾交由市政环卫部门清运处理，建筑垃圾可回收的外售回收处理，不可回收部分运至政府指定的建筑垃圾处理场处置；生态修复工程产生的淤泥经晾晒水量低于60%后运至垃圾填埋场处理。</w:t>
      </w:r>
      <w:r>
        <w:rPr>
          <w:rFonts w:ascii="仿宋" w:eastAsia="仿宋" w:hint="eastAsia"/>
          <w:color w:val="000000"/>
          <w:kern w:val="0"/>
          <w:sz w:val="32"/>
          <w:szCs w:val="32"/>
        </w:rPr>
        <w:t>营运期，</w:t>
      </w:r>
      <w:r>
        <w:rPr>
          <w:rFonts w:ascii="仿宋" w:eastAsia="仿宋"/>
          <w:color w:val="000000"/>
          <w:kern w:val="0"/>
          <w:sz w:val="32"/>
          <w:szCs w:val="32"/>
        </w:rPr>
        <w:t>污水处理厂珊渣、污泥集中收集后运至市政府指定的填埋场处置，生活垃圾统一收集后交由市政环卫部门统一清运处理</w:t>
      </w:r>
      <w:r>
        <w:rPr>
          <w:rFonts w:ascii="仿宋_GB2312" w:eastAsia="仿宋_GB2312" w:hint="eastAsia"/>
          <w:sz w:val="32"/>
          <w:szCs w:val="32"/>
        </w:rPr>
        <w:t>。</w:t>
      </w:r>
    </w:p>
    <w:p>
      <w:pPr>
        <w:spacing w:line="600" w:lineRule="exact"/>
        <w:ind w:firstLineChars="200" w:firstLine="640"/>
        <w:rPr>
          <w:rFonts w:ascii="仿宋" w:eastAsia="仿宋"/>
          <w:color w:val="000000"/>
          <w:kern w:val="0"/>
          <w:sz w:val="32"/>
          <w:szCs w:val="32"/>
        </w:rPr>
      </w:pPr>
      <w:r>
        <w:rPr>
          <w:rFonts w:ascii="仿宋" w:eastAsia="仿宋" w:hint="eastAsia"/>
          <w:color w:val="000000"/>
          <w:kern w:val="0"/>
          <w:sz w:val="32"/>
          <w:szCs w:val="32"/>
        </w:rPr>
        <w:t>（六）强化环境风险防范和应急措施。制定并落实应急预案和风险防范措施，杜绝污染事故的发生。加强环境风险防范工作，确保项目对环境的安全。</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（七）建设应注意解决好的其它问题，结合环评报告表及专家评估意见予以落实。</w:t>
      </w:r>
    </w:p>
    <w:p>
      <w:pPr>
        <w:widowControl/>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三、项目建设必须严格执行环境保护设施与主体工程同时设计、同时施工、同时投产使用的环境保护“三同时”制度。项目竣工后，</w:t>
      </w:r>
      <w:r>
        <w:rPr>
          <w:rFonts w:ascii="仿宋" w:eastAsia="仿宋" w:cs="仿宋_GB2312" w:hint="eastAsia"/>
          <w:color w:val="000000"/>
          <w:sz w:val="32"/>
          <w:szCs w:val="32"/>
          <w:lang w:bidi="ar-SA"/>
        </w:rPr>
        <w:t>环境保护设施及对策措施必须按规定程序开展环境保护验收</w:t>
      </w:r>
      <w:r>
        <w:rPr>
          <w:rFonts w:ascii="仿宋_GB2312" w:eastAsia="仿宋_GB2312" w:hint="eastAsia"/>
          <w:color w:val="000000"/>
          <w:sz w:val="32"/>
          <w:szCs w:val="32"/>
        </w:rPr>
        <w:t>，验收合格后，项目方可正式投入运营。违反本规定要求的，承担相应环境保护法律责任。</w:t>
      </w:r>
    </w:p>
    <w:p>
      <w:pPr>
        <w:widowControl/>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四、请简阳市环境监察执法大队负责该项目日常的环境保护监督检查工作。</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五、行政复议与行政诉讼权利告知</w:t>
      </w:r>
      <w:r>
        <w:rPr>
          <w:rFonts w:ascii="仿宋_GB2312" w:eastAsia="仿宋_GB2312"/>
          <w:color w:val="000000"/>
          <w:sz w:val="32"/>
          <w:szCs w:val="32"/>
        </w:rPr>
        <w:t>。</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建设单位认为本批复侵犯其合法权益的，可以自收到本文件之日起六十日内向简阳市人民政府或者成都市环境保护局提起行政复议，也可以自收到本文件之日起六个月内向简阳市人民法院行政诉讼。</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简阳市环境保护局联系方式</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电话：028——27028827</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通讯地址：四川省简阳市人民政府政务服务中心环保局窗口（641400）</w:t>
      </w:r>
    </w:p>
    <w:p>
      <w:pPr>
        <w:spacing w:line="430" w:lineRule="exact"/>
        <w:ind w:firstLineChars="250" w:firstLine="800"/>
        <w:jc w:val="right"/>
        <w:rPr>
          <w:rFonts w:ascii="仿宋_GB2312" w:eastAsia="仿宋_GB2312"/>
          <w:color w:val="000000"/>
          <w:sz w:val="32"/>
          <w:szCs w:val="32"/>
        </w:rPr>
      </w:pPr>
    </w:p>
    <w:p>
      <w:pPr>
        <w:spacing w:line="430" w:lineRule="exact"/>
        <w:ind w:firstLineChars="250" w:firstLine="800"/>
        <w:jc w:val="right"/>
        <w:rPr>
          <w:rFonts w:ascii="仿宋_GB2312" w:eastAsia="仿宋_GB2312"/>
          <w:color w:val="000000"/>
          <w:sz w:val="32"/>
          <w:szCs w:val="32"/>
        </w:rPr>
      </w:pPr>
    </w:p>
    <w:p>
      <w:pPr>
        <w:spacing w:line="430" w:lineRule="exact"/>
        <w:ind w:firstLineChars="250" w:firstLine="800"/>
        <w:jc w:val="center"/>
        <w:rPr>
          <w:rFonts w:ascii="仿宋_GB2312" w:eastAsia="仿宋_GB2312"/>
          <w:color w:val="000000"/>
          <w:sz w:val="32"/>
          <w:szCs w:val="32"/>
        </w:rPr>
      </w:pPr>
      <w:r>
        <w:rPr>
          <w:rFonts w:ascii="仿宋_GB2312" w:eastAsia="仿宋_GB2312" w:hint="eastAsia"/>
          <w:color w:val="000000"/>
          <w:sz w:val="32"/>
          <w:szCs w:val="32"/>
        </w:rPr>
        <w:t xml:space="preserve">             </w:t>
      </w:r>
    </w:p>
    <w:p>
      <w:pPr>
        <w:spacing w:line="520" w:lineRule="exact"/>
        <w:ind w:firstLineChars="250" w:firstLine="800"/>
        <w:jc w:val="center"/>
        <w:rPr>
          <w:rFonts w:ascii="仿宋_GB2312" w:eastAsia="仿宋_GB2312"/>
          <w:color w:val="000000"/>
          <w:sz w:val="32"/>
          <w:szCs w:val="32"/>
        </w:rPr>
      </w:pPr>
      <w:r>
        <w:rPr>
          <w:rFonts w:ascii="仿宋_GB2312" w:eastAsia="仿宋_GB2312" w:hint="eastAsia"/>
          <w:color w:val="000000"/>
          <w:sz w:val="32"/>
          <w:szCs w:val="32"/>
        </w:rPr>
        <w:t xml:space="preserve">             简阳市环境保护局</w:t>
      </w:r>
    </w:p>
    <w:p>
      <w:pPr>
        <w:spacing w:line="520" w:lineRule="exact"/>
        <w:ind w:firstLineChars="200" w:firstLine="640"/>
        <w:jc w:val="center"/>
        <w:rPr>
          <w:rFonts w:ascii="仿宋_GB2312" w:eastAsia="仿宋_GB2312"/>
          <w:color w:val="000000"/>
          <w:sz w:val="32"/>
          <w:szCs w:val="32"/>
        </w:rPr>
      </w:pPr>
      <w:r>
        <w:rPr>
          <w:rFonts w:ascii="仿宋_GB2312" w:eastAsia="仿宋_GB2312" w:hint="eastAsia"/>
          <w:color w:val="000000"/>
          <w:sz w:val="32"/>
          <w:szCs w:val="32"/>
        </w:rPr>
        <w:t xml:space="preserve">              201</w:t>
      </w:r>
      <w:r>
        <w:rPr>
          <w:rFonts w:ascii="仿宋_GB2312" w:eastAsia="仿宋_GB2312"/>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2</w:t>
      </w:r>
      <w:r>
        <w:rPr>
          <w:rFonts w:ascii="仿宋_GB2312" w:eastAsia="仿宋_GB2312" w:hint="eastAsia"/>
          <w:color w:val="000000"/>
          <w:sz w:val="32"/>
          <w:szCs w:val="32"/>
        </w:rPr>
        <w:t>月</w:t>
      </w:r>
      <w:r>
        <w:rPr>
          <w:rFonts w:ascii="仿宋_GB2312" w:eastAsia="仿宋_GB2312"/>
          <w:color w:val="000000"/>
          <w:sz w:val="32"/>
          <w:szCs w:val="32"/>
        </w:rPr>
        <w:t>1</w:t>
      </w:r>
      <w:r>
        <w:rPr>
          <w:rFonts w:ascii="仿宋_GB2312" w:eastAsia="仿宋_GB2312" w:hint="eastAsia"/>
          <w:color w:val="000000"/>
          <w:sz w:val="32"/>
          <w:szCs w:val="32"/>
        </w:rPr>
        <w:t>日</w:t>
      </w: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left="0"/>
        <w:rPr>
          <w:rFonts w:ascii="仿宋_GB2312" w:eastAsia="仿宋_GB2312"/>
          <w:color w:val="000000"/>
          <w:sz w:val="32"/>
          <w:szCs w:val="32"/>
        </w:rPr>
      </w:pPr>
    </w:p>
    <w:p>
      <w:pPr>
        <w:spacing w:line="520" w:lineRule="exact"/>
        <w:ind w:firstLineChars="200" w:firstLine="640"/>
        <w:jc w:val="right"/>
        <w:rPr>
          <w:rFonts w:ascii="仿宋_GB2312" w:eastAsia="仿宋_GB2312"/>
          <w:color w:val="000000"/>
          <w:sz w:val="32"/>
          <w:szCs w:val="32"/>
        </w:rPr>
      </w:pPr>
    </w:p>
    <w:p>
      <w:pPr>
        <w:spacing w:line="520" w:lineRule="exact"/>
        <w:ind w:left="1276" w:hangingChars="399" w:hanging="1276"/>
        <w:rPr>
          <w:rFonts w:ascii="仿宋_GB2312" w:eastAsia="仿宋_GB2312"/>
          <w:color w:val="000000"/>
          <w:sz w:val="32"/>
          <w:szCs w:val="32"/>
        </w:rPr>
      </w:pPr>
      <w:r>
        <w:rPr>
          <w:rFonts w:ascii="仿宋_GB2312" w:eastAsia="仿宋_GB2312"/>
          <w:color w:val="000000"/>
          <w:sz w:val="32"/>
          <w:szCs w:val="32"/>
        </w:rPr>
        <mc:AlternateContent>
          <mc:Choice Requires="wps">
            <w:drawing>
              <wp:anchor distT="0" distB="0" distL="91438" distR="91438" simplePos="0" relativeHeight="12"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1" name="直线 1"/>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0pt,0.0pt" to="450.0pt,0.0pt" filled="f" stroked="t" style="position:absolute;z-index:12;mso-position-horizontal:absolute;mso-position-vertical:absolute;mso-wrap-distance-left:7.19989pt;mso-wrap-distance-right:7.19989pt;">
                <v:stroke color="#000000"/>
              </v:line>
            </w:pict>
          </mc:Fallback>
        </mc:AlternateContent>
      </w:r>
      <w:r>
        <w:rPr>
          <w:rFonts w:ascii="仿宋_GB2312" w:eastAsia="仿宋_GB2312" w:hint="eastAsia"/>
          <w:color w:val="000000"/>
          <w:sz w:val="32"/>
          <w:szCs w:val="32"/>
        </w:rPr>
        <w:t>抄  送：污染防治与环境监测科、污染物排放总量控制科、核与辐射和建设项目管理科、市环境监察执法大队，</w:t>
      </w:r>
      <w:r>
        <w:rPr>
          <w:rFonts w:ascii="仿宋_GB2312" w:eastAsia="仿宋_GB2312"/>
          <w:color w:val="000000"/>
          <w:sz w:val="32"/>
          <w:szCs w:val="32"/>
        </w:rPr>
        <w:t>四川嘉盛裕环保工程有限公司。</w:t>
      </w:r>
    </w:p>
    <w:p>
      <w:pPr>
        <w:spacing w:line="520" w:lineRule="exact"/>
        <w:ind w:left="1276" w:hangingChars="399" w:hanging="1276"/>
        <w:rPr>
          <w:rFonts w:ascii="仿宋_GB2312" w:eastAsia="仿宋_GB2312"/>
          <w:color w:val="000000"/>
          <w:sz w:val="32"/>
          <w:szCs w:val="32"/>
        </w:rPr>
      </w:pPr>
      <w:r>
        <w:rPr>
          <w:rFonts w:ascii="仿宋_GB2312" w:eastAsia="仿宋_GB2312"/>
          <w:sz w:val="32"/>
          <w:szCs w:val="32"/>
        </w:rPr>
        <mc:AlternateContent>
          <mc:Choice Requires="wps">
            <w:drawing>
              <wp:anchor distT="0" distB="0" distL="91438" distR="91438" simplePos="0" relativeHeight="13" behindDoc="0" locked="0" layoutInCell="1" hidden="0" allowOverlap="1">
                <wp:simplePos x="0" y="0"/>
                <wp:positionH relativeFrom="column">
                  <wp:posOffset>0</wp:posOffset>
                </wp:positionH>
                <wp:positionV relativeFrom="paragraph">
                  <wp:posOffset>0</wp:posOffset>
                </wp:positionV>
                <wp:extent cx="5715000" cy="0"/>
                <wp:effectExtent l="0" t="0" r="0" b="0"/>
                <wp:wrapNone/>
                <wp:docPr id="3" name="直线 3"/>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4" o:spid="_x0000_s4" from="0.0pt,0.0pt" to="450.0pt,0.0pt" filled="f" stroked="t" style="position:absolute;z-index:13;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xml:space="preserve">简阳市环境保护局环评科　　　  　     </w:t>
      </w:r>
      <w:r>
        <w:rPr>
          <w:rFonts w:ascii="仿宋_GB2312" w:eastAsia="仿宋_GB2312"/>
          <w:sz w:val="32"/>
          <w:szCs w:val="32"/>
        </w:rPr>
        <w:t xml:space="preserve"> </w:t>
      </w:r>
      <w:r>
        <w:rPr>
          <w:rFonts w:ascii="仿宋_GB2312" w:eastAsia="仿宋_GB2312" w:hint="eastAsia"/>
          <w:color w:val="000000"/>
          <w:sz w:val="32"/>
          <w:szCs w:val="32"/>
        </w:rPr>
        <w:t>201</w:t>
      </w:r>
      <w:r>
        <w:rPr>
          <w:rFonts w:ascii="仿宋_GB2312" w:eastAsia="仿宋_GB2312"/>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2</w:t>
      </w:r>
      <w:r>
        <w:rPr>
          <w:rFonts w:ascii="仿宋_GB2312" w:eastAsia="仿宋_GB2312" w:hint="eastAsia"/>
          <w:color w:val="000000"/>
          <w:sz w:val="32"/>
          <w:szCs w:val="32"/>
        </w:rPr>
        <w:t>月</w:t>
      </w:r>
      <w:r>
        <w:rPr>
          <w:rFonts w:ascii="仿宋_GB2312" w:eastAsia="仿宋_GB2312"/>
          <w:color w:val="000000"/>
          <w:sz w:val="32"/>
          <w:szCs w:val="32"/>
        </w:rPr>
        <w:t>1</w:t>
      </w:r>
      <w:r>
        <w:rPr>
          <w:rFonts w:ascii="仿宋_GB2312" w:eastAsia="仿宋_GB2312" w:hint="eastAsia"/>
          <w:color w:val="000000"/>
          <w:sz w:val="32"/>
          <w:szCs w:val="32"/>
        </w:rPr>
        <w:t>日印</w:t>
      </w:r>
    </w:p>
    <w:p>
      <w:pPr>
        <w:spacing w:line="520" w:lineRule="exact"/>
        <w:jc w:val="center"/>
      </w:pPr>
      <w:r>
        <w:rPr>
          <w:rFonts w:ascii="仿宋_GB2312" w:eastAsia="仿宋_GB2312"/>
          <w:sz w:val="32"/>
          <w:szCs w:val="32"/>
        </w:rPr>
        <mc:AlternateContent>
          <mc:Choice Requires="wps">
            <w:drawing>
              <wp:anchor distT="0" distB="0" distL="91438" distR="91438" simplePos="0" relativeHeight="14" behindDoc="0" locked="0" layoutInCell="1" hidden="0" allowOverlap="1">
                <wp:simplePos x="0" y="0"/>
                <wp:positionH relativeFrom="column">
                  <wp:posOffset>0</wp:posOffset>
                </wp:positionH>
                <wp:positionV relativeFrom="paragraph">
                  <wp:posOffset>15239</wp:posOffset>
                </wp:positionV>
                <wp:extent cx="5715000" cy="0"/>
                <wp:effectExtent l="0" t="0" r="0" b="0"/>
                <wp:wrapNone/>
                <wp:docPr id="5" name="直线 5"/>
                <wp:cNvGraphicFramePr>
                  <a:graphicFrameLocks noChangeAspect="0"/>
                </wp:cNvGraphicFramePr>
                <a:graphic>
                  <a:graphicData uri="http://schemas.microsoft.com/office/word/2010/wordprocessingShape">
                    <wps:wsp>
                      <wps:cNvSpPr/>
                      <wps:spPr>
                        <a:xfrm rot="0">
                          <a:off x="0" y="0"/>
                          <a:ext cx="5715000" cy="0"/>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6" o:spid="_x0000_s6" from="0.0pt,1.1999817pt" to="450.0pt,1.1999817pt" filled="f" stroked="t" style="position:absolute;z-index:14;mso-position-horizontal:absolute;mso-position-vertical:absolute;mso-wrap-distance-left:7.19989pt;mso-wrap-distance-right:7.19989pt;">
                <v:stroke color="#000000"/>
              </v:line>
            </w:pict>
          </mc:Fallback>
        </mc:AlternateContent>
      </w:r>
      <w:r>
        <w:rPr>
          <w:rFonts w:ascii="仿宋_GB2312" w:eastAsia="仿宋_GB2312" w:hint="eastAsia"/>
          <w:sz w:val="32"/>
          <w:szCs w:val="32"/>
        </w:rPr>
        <w:t>　　　　　　　　　　　　　　      　（共印8份）</w:t>
      </w:r>
    </w:p>
    <w:sectPr>
      <w:headerReference w:type="default" r:id="rId2"/>
      <w:footerReference w:type="default" r:id="rId3"/>
      <w:footerReference w:type="even" r:id="rId4"/>
      <w:pgSz w:w="11907" w:h="16840"/>
      <w:pgMar w:top="1701" w:right="1588" w:bottom="1474" w:left="1701"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0000000000000000000"/>
    <w:charset w:val="86"/>
    <w:family w:val="modern"/>
    <w:pitch w:val="variable"/>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header"/>
    <w:next w:val="16"/>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customStyle="1" w:styleId="16">
    <w:name w:val="正文2"/>
    <w:next w:val="17"/>
    <w:pPr>
      <w:widowControl w:val="0"/>
      <w:adjustRightInd w:val="0"/>
      <w:spacing w:line="360" w:lineRule="auto"/>
      <w:ind w:firstLineChars="200" w:firstLine="200"/>
      <w:jc w:val="both"/>
      <w:textAlignment w:val="baseline"/>
    </w:pPr>
    <w:rPr>
      <w:rFonts w:ascii="宋体" w:eastAsia="宋体" w:cs="Times New Roman"/>
      <w:kern w:val="0"/>
      <w:sz w:val="24"/>
      <w:szCs w:val="28"/>
      <w:lang w:val="en-US" w:eastAsia="zh-CN" w:bidi="ar-SA"/>
    </w:rPr>
  </w:style>
  <w:style w:type="paragraph" w:styleId="17">
    <w:name w:val="toc 6"/>
    <w:basedOn w:val="0"/>
    <w:autoRedefine/>
    <w:next w:val="0"/>
    <w:pPr>
      <w:ind w:leftChars="1000" w:left="1000"/>
    </w:pPr>
  </w:style>
  <w:style w:type="paragraph" w:styleId="18">
    <w:name w:val="footer"/>
    <w:basedOn w:val="0"/>
    <w:pPr>
      <w:tabs>
        <w:tab w:val="center" w:pos="4153"/>
        <w:tab w:val="right" w:pos="8306"/>
      </w:tabs>
      <w:snapToGrid w:val="0"/>
      <w:jc w:val="left"/>
    </w:pPr>
    <w:rPr>
      <w:sz w:val="18"/>
      <w:szCs w:val="18"/>
    </w:rPr>
  </w:style>
  <w:style w:type="character" w:styleId="19">
    <w:name w:val="page number"/>
    <w:basedOn w:val="10"/>
  </w:style>
  <w:style w:type="paragraph" w:styleId="20">
    <w:name w:val="List Continue 3"/>
    <w:basedOn w:val="0"/>
    <w:pPr>
      <w:spacing w:after="120"/>
      <w:ind w:left="126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846</TotalTime>
  <Application>Yozo_Office</Application>
  <Pages>5</Pages>
  <Words>2152</Words>
  <Characters>2278</Characters>
  <Lines>113</Lines>
  <Paragraphs>29</Paragraphs>
  <CharactersWithSpaces>2353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FC</dc:creator>
  <cp:lastModifiedBy>Microsoft</cp:lastModifiedBy>
  <cp:revision>8</cp:revision>
  <cp:lastPrinted>2018-01-04T05:46:19Z</cp:lastPrinted>
  <dcterms:created xsi:type="dcterms:W3CDTF">2017-07-17T06:28:00Z</dcterms:created>
  <dcterms:modified xsi:type="dcterms:W3CDTF">2019-02-02T03:17:27Z</dcterms:modified>
</cp:coreProperties>
</file>