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spacing w:line="840" w:lineRule="exact"/>
        <w:ind w:firstLineChars="1850" w:firstLine="5920"/>
        <w:jc w:val="left"/>
        <w:rPr>
          <w:rFonts w:ascii="仿宋_GB2312" w:eastAsia="仿宋_GB2312"/>
          <w:color w:val="000000"/>
          <w:sz w:val="32"/>
          <w:szCs w:val="32"/>
        </w:rPr>
      </w:pPr>
    </w:p>
    <w:p>
      <w:pPr>
        <w:widowControl/>
        <w:spacing w:line="840" w:lineRule="exact"/>
        <w:ind w:firstLineChars="1850" w:firstLine="5920"/>
        <w:jc w:val="left"/>
        <w:rPr>
          <w:rFonts w:ascii="仿宋_GB2312" w:eastAsia="仿宋_GB2312"/>
          <w:color w:val="000000"/>
          <w:sz w:val="32"/>
          <w:szCs w:val="32"/>
        </w:rPr>
      </w:pPr>
    </w:p>
    <w:p>
      <w:pPr>
        <w:widowControl/>
        <w:spacing w:line="360" w:lineRule="auto"/>
        <w:jc w:val="right"/>
        <w:rPr>
          <w:rFonts w:ascii="仿宋_GB2312" w:eastAsia="仿宋_GB2312"/>
          <w:color w:val="000000"/>
          <w:sz w:val="32"/>
          <w:szCs w:val="32"/>
        </w:rPr>
      </w:pPr>
      <w:r>
        <w:rPr>
          <w:rFonts w:ascii="仿宋_GB2312" w:eastAsia="仿宋_GB2312" w:hint="eastAsia"/>
          <w:color w:val="000000"/>
          <w:sz w:val="32"/>
          <w:szCs w:val="32"/>
        </w:rPr>
        <w:t>简环</w:t>
      </w:r>
      <w:r>
        <w:rPr>
          <w:rFonts w:ascii="仿宋_GB2312" w:eastAsia="仿宋_GB2312"/>
          <w:color w:val="000000"/>
          <w:sz w:val="32"/>
          <w:szCs w:val="32"/>
        </w:rPr>
        <w:t>评审</w:t>
      </w:r>
      <w:r>
        <w:rPr>
          <w:rFonts w:ascii="宋体" w:eastAsia="宋体" w:hint="eastAsia"/>
          <w:color w:val="000000"/>
          <w:sz w:val="32"/>
          <w:szCs w:val="32"/>
        </w:rPr>
        <w:t>﹝</w:t>
      </w:r>
      <w:r>
        <w:rPr>
          <w:rFonts w:ascii="仿宋_GB2312" w:eastAsia="仿宋_GB2312" w:hint="eastAsia"/>
          <w:color w:val="000000"/>
          <w:sz w:val="32"/>
          <w:szCs w:val="32"/>
        </w:rPr>
        <w:t>20</w:t>
      </w:r>
      <w:r>
        <w:rPr>
          <w:rFonts w:ascii="仿宋_GB2312" w:eastAsia="仿宋_GB2312"/>
          <w:color w:val="000000"/>
          <w:sz w:val="32"/>
          <w:szCs w:val="32"/>
        </w:rPr>
        <w:t>20</w:t>
      </w:r>
      <w:r>
        <w:rPr>
          <w:rFonts w:ascii="宋体" w:eastAsia="宋体" w:hint="eastAsia"/>
          <w:color w:val="000000"/>
          <w:sz w:val="32"/>
          <w:szCs w:val="32"/>
        </w:rPr>
        <w:t>﹞</w:t>
      </w:r>
      <w:r>
        <w:rPr>
          <w:rFonts w:ascii="仿宋_GB2312" w:eastAsia="仿宋_GB2312"/>
          <w:color w:val="000000"/>
          <w:sz w:val="32"/>
          <w:szCs w:val="32"/>
        </w:rPr>
        <w:t>2</w:t>
      </w:r>
      <w:r>
        <w:rPr>
          <w:rFonts w:ascii="仿宋_GB2312" w:eastAsia="仿宋_GB2312" w:hint="eastAsia"/>
          <w:color w:val="000000"/>
          <w:sz w:val="32"/>
          <w:szCs w:val="32"/>
          <w:lang w:val="en-US" w:eastAsia="zh-CN"/>
        </w:rPr>
        <w:t>8</w:t>
      </w:r>
      <w:r>
        <w:rPr>
          <w:rFonts w:ascii="仿宋_GB2312" w:eastAsia="仿宋_GB2312" w:hint="eastAsia"/>
          <w:color w:val="000000"/>
          <w:sz w:val="32"/>
          <w:szCs w:val="32"/>
        </w:rPr>
        <w:t>号</w:t>
      </w:r>
    </w:p>
    <w:p>
      <w:pPr>
        <w:widowControl/>
        <w:spacing w:line="360" w:lineRule="auto"/>
        <w:ind w:firstLineChars="1700" w:firstLine="5440"/>
        <w:jc w:val="left"/>
        <w:rPr>
          <w:rFonts w:ascii="仿宋_GB2312" w:eastAsia="仿宋_GB2312"/>
          <w:color w:val="000000"/>
          <w:sz w:val="32"/>
          <w:szCs w:val="32"/>
        </w:rPr>
      </w:pPr>
    </w:p>
    <w:p>
      <w:pPr>
        <w:widowControl/>
        <w:spacing w:line="360" w:lineRule="auto"/>
        <w:jc w:val="center"/>
        <w:rPr>
          <w:rFonts w:ascii="黑体" w:eastAsia="黑体"/>
          <w:color w:val="000000"/>
          <w:sz w:val="36"/>
          <w:szCs w:val="36"/>
        </w:rPr>
      </w:pPr>
      <w:r>
        <w:rPr>
          <w:rFonts w:ascii="黑体" w:eastAsia="黑体"/>
          <w:color w:val="000000"/>
          <w:sz w:val="36"/>
          <w:szCs w:val="36"/>
        </w:rPr>
        <w:t>成都市简阳生态环境局</w:t>
      </w:r>
    </w:p>
    <w:p>
      <w:pPr>
        <w:widowControl/>
        <w:spacing w:line="360" w:lineRule="auto"/>
        <w:jc w:val="center"/>
        <w:rPr>
          <w:rFonts w:ascii="黑体" w:eastAsia="黑体" w:hint="eastAsia"/>
          <w:color w:val="000000"/>
          <w:sz w:val="36"/>
          <w:szCs w:val="36"/>
        </w:rPr>
      </w:pPr>
      <w:r>
        <w:rPr>
          <w:rFonts w:ascii="黑体" w:eastAsia="黑体" w:hint="eastAsia"/>
          <w:color w:val="000000"/>
          <w:sz w:val="36"/>
          <w:szCs w:val="36"/>
        </w:rPr>
        <w:t>关于中国石油天然气股份有限公司西南油气田</w:t>
      </w:r>
    </w:p>
    <w:p>
      <w:pPr>
        <w:widowControl/>
        <w:spacing w:line="360" w:lineRule="auto"/>
        <w:jc w:val="center"/>
        <w:rPr>
          <w:rFonts w:ascii="黑体" w:eastAsia="黑体" w:hint="eastAsia"/>
          <w:color w:val="000000"/>
          <w:sz w:val="36"/>
          <w:szCs w:val="36"/>
          <w:lang w:eastAsia="zh-CN"/>
        </w:rPr>
      </w:pPr>
      <w:r>
        <w:rPr>
          <w:rFonts w:ascii="黑体" w:eastAsia="黑体" w:hint="eastAsia"/>
          <w:color w:val="000000"/>
          <w:sz w:val="36"/>
          <w:szCs w:val="36"/>
        </w:rPr>
        <w:t>分公司勘探事业部</w:t>
      </w:r>
      <w:r>
        <w:rPr>
          <w:rFonts w:ascii="黑体" w:eastAsia="黑体" w:hint="eastAsia"/>
          <w:color w:val="000000"/>
          <w:sz w:val="36"/>
          <w:szCs w:val="36"/>
          <w:lang w:eastAsia="zh-CN"/>
        </w:rPr>
        <w:t>天府8</w:t>
      </w:r>
      <w:r>
        <w:rPr>
          <w:rFonts w:ascii="黑体" w:eastAsia="黑体" w:hint="eastAsia"/>
          <w:color w:val="000000"/>
          <w:sz w:val="36"/>
          <w:szCs w:val="36"/>
          <w:lang w:val="en-US" w:eastAsia="zh-CN"/>
        </w:rPr>
        <w:t>#</w:t>
      </w:r>
      <w:r>
        <w:rPr>
          <w:rFonts w:ascii="黑体" w:eastAsia="黑体" w:hint="eastAsia"/>
          <w:color w:val="000000"/>
          <w:sz w:val="36"/>
          <w:szCs w:val="36"/>
          <w:lang w:eastAsia="zh-CN"/>
        </w:rPr>
        <w:t>钻井工程项目</w:t>
      </w:r>
    </w:p>
    <w:p>
      <w:pPr>
        <w:widowControl/>
        <w:spacing w:line="360" w:lineRule="auto"/>
        <w:jc w:val="center"/>
        <w:rPr>
          <w:rFonts w:ascii="黑体" w:eastAsia="黑体"/>
          <w:color w:val="000000"/>
          <w:sz w:val="36"/>
          <w:szCs w:val="36"/>
        </w:rPr>
      </w:pPr>
      <w:r>
        <w:rPr>
          <w:rFonts w:ascii="黑体" w:eastAsia="黑体" w:hint="eastAsia"/>
          <w:color w:val="000000"/>
          <w:sz w:val="36"/>
          <w:szCs w:val="36"/>
        </w:rPr>
        <w:t>环境影响报告表的批复</w:t>
      </w:r>
    </w:p>
    <w:p>
      <w:pPr>
        <w:spacing w:line="560" w:lineRule="exact"/>
        <w:ind w:firstLineChars="200" w:firstLine="640"/>
        <w:rPr>
          <w:rFonts w:ascii="仿宋_GB2312" w:eastAsia="仿宋_GB2312"/>
          <w:color w:val="000000"/>
          <w:sz w:val="32"/>
          <w:szCs w:val="32"/>
        </w:rPr>
      </w:pPr>
    </w:p>
    <w:p>
      <w:pPr>
        <w:adjustRightInd w:val="0"/>
        <w:snapToGrid w:val="0"/>
        <w:spacing w:line="640" w:lineRule="exact"/>
        <w:ind w:left="0"/>
        <w:jc w:val="left"/>
        <w:rPr>
          <w:rFonts w:eastAsia="仿宋"/>
          <w:color w:val="000000"/>
          <w:sz w:val="32"/>
          <w:szCs w:val="32"/>
          <w:shd w:val="clear" w:color="auto" w:fill="auto"/>
        </w:rPr>
      </w:pPr>
      <w:r>
        <w:rPr>
          <w:rFonts w:eastAsia="仿宋" w:hint="eastAsia"/>
          <w:color w:val="000000"/>
          <w:sz w:val="32"/>
          <w:szCs w:val="32"/>
          <w:shd w:val="clear" w:color="auto" w:fill="auto"/>
        </w:rPr>
        <w:t>中国石油天然气股份有限公司西南油气田分公司勘探事业部：</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你单位报送的《</w:t>
      </w:r>
      <w:r>
        <w:rPr>
          <w:rFonts w:eastAsia="仿宋" w:hint="eastAsia"/>
          <w:color w:val="000000"/>
          <w:sz w:val="32"/>
          <w:szCs w:val="32"/>
          <w:shd w:val="clear" w:color="auto" w:fill="auto"/>
          <w:lang w:eastAsia="zh-CN"/>
        </w:rPr>
        <w:t>天府8</w:t>
      </w:r>
      <w:r>
        <w:rPr>
          <w:rFonts w:eastAsia="仿宋" w:hint="eastAsia"/>
          <w:color w:val="000000"/>
          <w:sz w:val="32"/>
          <w:szCs w:val="32"/>
          <w:shd w:val="clear" w:color="auto" w:fill="auto"/>
          <w:lang w:val="en-US" w:eastAsia="zh-CN"/>
        </w:rPr>
        <w:t>#</w:t>
      </w:r>
      <w:r>
        <w:rPr>
          <w:rFonts w:eastAsia="仿宋" w:hint="eastAsia"/>
          <w:color w:val="000000"/>
          <w:sz w:val="32"/>
          <w:szCs w:val="32"/>
          <w:shd w:val="clear" w:color="auto" w:fill="auto"/>
          <w:lang w:eastAsia="zh-CN"/>
        </w:rPr>
        <w:t>钻井工程项</w:t>
      </w:r>
      <w:bookmarkStart w:id="0" w:name="_GoBack"/>
      <w:bookmarkEnd w:id="0"/>
      <w:r>
        <w:rPr>
          <w:rFonts w:eastAsia="仿宋" w:hint="eastAsia"/>
          <w:color w:val="000000"/>
          <w:sz w:val="32"/>
          <w:szCs w:val="32"/>
          <w:shd w:val="clear" w:color="auto" w:fill="auto"/>
          <w:lang w:eastAsia="zh-CN"/>
        </w:rPr>
        <w:t>目</w:t>
      </w:r>
      <w:r>
        <w:rPr>
          <w:rFonts w:eastAsia="仿宋" w:hint="eastAsia"/>
          <w:color w:val="000000"/>
          <w:sz w:val="32"/>
          <w:szCs w:val="32"/>
          <w:shd w:val="clear" w:color="auto" w:fill="auto"/>
        </w:rPr>
        <w:t>环境影响报告表》及专家意见已收悉。经研究，现批复如下：</w:t>
      </w:r>
    </w:p>
    <w:p>
      <w:pPr>
        <w:wordWrap w:val="0"/>
        <w:adjustRightInd w:val="0"/>
        <w:snapToGrid w:val="0"/>
        <w:spacing w:line="640" w:lineRule="exact"/>
        <w:ind w:firstLineChars="200" w:firstLine="640"/>
        <w:jc w:val="left"/>
        <w:rPr>
          <w:rFonts w:eastAsia="仿宋"/>
          <w:bCs/>
          <w:color w:val="000000"/>
          <w:sz w:val="32"/>
          <w:szCs w:val="32"/>
          <w:shd w:val="clear" w:color="auto" w:fill="auto"/>
        </w:rPr>
      </w:pPr>
      <w:r>
        <w:rPr>
          <w:rFonts w:eastAsia="仿宋" w:cs="宋体" w:hint="eastAsia"/>
          <w:color w:val="000000"/>
          <w:sz w:val="32"/>
          <w:szCs w:val="32"/>
          <w:shd w:val="clear" w:color="auto" w:fill="auto"/>
        </w:rPr>
        <w:t>一、该项目位于四川省成都市简阳市赤水街道深湾村12组。项目主要建设内容：</w:t>
      </w:r>
      <w:r>
        <w:rPr>
          <w:rFonts w:eastAsia="仿宋" w:cs="宋体"/>
          <w:color w:val="000000"/>
          <w:sz w:val="32"/>
          <w:szCs w:val="32"/>
          <w:shd w:val="clear" w:color="auto" w:fill="auto"/>
        </w:rPr>
        <w:t>1.</w:t>
      </w:r>
      <w:r>
        <w:rPr>
          <w:rFonts w:eastAsia="仿宋" w:cs="宋体" w:hint="eastAsia"/>
          <w:color w:val="000000"/>
          <w:sz w:val="32"/>
          <w:szCs w:val="32"/>
          <w:shd w:val="clear" w:color="auto" w:fill="auto"/>
          <w:lang w:eastAsia="zh-CN"/>
        </w:rPr>
        <w:t>主体工程：钻前工程（设方井、放喷坑等）、钻井工程（钻进设备安装、固井作业等）、完井工程（酸化压裂作业、测试放喷管线等）</w:t>
      </w:r>
      <w:r>
        <w:rPr>
          <w:rFonts w:eastAsia="仿宋" w:cs="宋体" w:hint="eastAsia"/>
          <w:color w:val="000000"/>
          <w:sz w:val="32"/>
          <w:szCs w:val="32"/>
          <w:shd w:val="clear" w:color="auto" w:fill="auto"/>
        </w:rPr>
        <w:t>；2.</w:t>
      </w:r>
      <w:r>
        <w:rPr>
          <w:rFonts w:eastAsia="仿宋" w:cs="宋体" w:hint="eastAsia"/>
          <w:color w:val="000000"/>
          <w:sz w:val="32"/>
          <w:szCs w:val="32"/>
          <w:shd w:val="clear" w:color="auto" w:fill="auto"/>
          <w:lang w:eastAsia="zh-CN"/>
        </w:rPr>
        <w:t>辅助工程；</w:t>
      </w:r>
      <w:r>
        <w:rPr>
          <w:rFonts w:eastAsia="仿宋" w:cs="宋体" w:hint="eastAsia"/>
          <w:color w:val="000000"/>
          <w:sz w:val="32"/>
          <w:szCs w:val="32"/>
          <w:shd w:val="clear" w:color="auto" w:fill="auto"/>
          <w:lang w:val="en-US" w:eastAsia="zh-CN"/>
        </w:rPr>
        <w:t>3.</w:t>
      </w:r>
      <w:r>
        <w:rPr>
          <w:rFonts w:eastAsia="仿宋" w:cs="宋体" w:hint="eastAsia"/>
          <w:color w:val="000000"/>
          <w:sz w:val="32"/>
          <w:szCs w:val="32"/>
          <w:shd w:val="clear" w:color="auto" w:fill="auto"/>
          <w:lang w:eastAsia="zh-CN"/>
        </w:rPr>
        <w:t>储运</w:t>
      </w:r>
      <w:r>
        <w:rPr>
          <w:rFonts w:eastAsia="仿宋" w:cs="宋体" w:hint="eastAsia"/>
          <w:color w:val="000000"/>
          <w:sz w:val="32"/>
          <w:szCs w:val="32"/>
          <w:shd w:val="clear" w:color="auto" w:fill="auto"/>
        </w:rPr>
        <w:t>工程；</w:t>
      </w:r>
      <w:r>
        <w:rPr>
          <w:rFonts w:eastAsia="仿宋" w:cs="宋体" w:hint="eastAsia"/>
          <w:color w:val="000000"/>
          <w:sz w:val="32"/>
          <w:szCs w:val="32"/>
          <w:shd w:val="clear" w:color="auto" w:fill="auto"/>
          <w:lang w:val="en-US" w:eastAsia="zh-CN"/>
        </w:rPr>
        <w:t>4</w:t>
      </w:r>
      <w:r>
        <w:rPr>
          <w:rFonts w:eastAsia="仿宋" w:cs="宋体" w:hint="eastAsia"/>
          <w:color w:val="000000"/>
          <w:sz w:val="32"/>
          <w:szCs w:val="32"/>
          <w:shd w:val="clear" w:color="auto" w:fill="auto"/>
        </w:rPr>
        <w:t>.环保工程</w:t>
      </w:r>
      <w:r>
        <w:rPr>
          <w:rFonts w:eastAsia="仿宋"/>
          <w:sz w:val="32"/>
          <w:szCs w:val="32"/>
          <w:shd w:val="clear" w:color="auto" w:fill="auto"/>
        </w:rPr>
        <w:t>。</w:t>
      </w:r>
      <w:r>
        <w:rPr>
          <w:rFonts w:eastAsia="仿宋" w:cs="宋体" w:hint="eastAsia"/>
          <w:color w:val="000000"/>
          <w:sz w:val="32"/>
          <w:szCs w:val="32"/>
          <w:shd w:val="clear" w:color="auto" w:fill="auto"/>
        </w:rPr>
        <w:t>项目总投资4840万元，其中环保投资</w:t>
      </w:r>
      <w:r>
        <w:rPr>
          <w:rFonts w:eastAsia="仿宋" w:cs="宋体" w:hint="eastAsia"/>
          <w:color w:val="000000"/>
          <w:sz w:val="32"/>
          <w:szCs w:val="32"/>
          <w:shd w:val="clear" w:color="auto" w:fill="auto"/>
          <w:lang w:val="en-US" w:eastAsia="zh-CN"/>
        </w:rPr>
        <w:t>254</w:t>
      </w:r>
      <w:r>
        <w:rPr>
          <w:rFonts w:eastAsia="仿宋" w:cs="宋体" w:hint="eastAsia"/>
          <w:color w:val="000000"/>
          <w:sz w:val="32"/>
          <w:szCs w:val="32"/>
          <w:shd w:val="clear" w:color="auto" w:fill="auto"/>
        </w:rPr>
        <w:t>万元。</w:t>
      </w:r>
    </w:p>
    <w:p>
      <w:pPr>
        <w:wordWrap w:val="0"/>
        <w:adjustRightInd w:val="0"/>
        <w:snapToGrid w:val="0"/>
        <w:spacing w:line="640" w:lineRule="exact"/>
        <w:ind w:firstLineChars="200" w:firstLine="640"/>
        <w:jc w:val="left"/>
        <w:rPr>
          <w:rFonts w:eastAsia="仿宋"/>
          <w:bCs/>
          <w:color w:val="000000"/>
          <w:sz w:val="32"/>
          <w:szCs w:val="32"/>
          <w:shd w:val="clear" w:color="auto" w:fill="auto"/>
        </w:rPr>
      </w:pPr>
      <w:r>
        <w:rPr>
          <w:rFonts w:eastAsia="仿宋" w:hint="eastAsia"/>
          <w:bCs/>
          <w:color w:val="000000"/>
          <w:sz w:val="32"/>
          <w:szCs w:val="32"/>
          <w:shd w:val="clear" w:color="auto" w:fill="auto"/>
        </w:rPr>
        <w:t>项目</w:t>
      </w:r>
      <w:r>
        <w:rPr>
          <w:rFonts w:eastAsia="仿宋"/>
          <w:bCs/>
          <w:color w:val="000000"/>
          <w:sz w:val="32"/>
          <w:szCs w:val="32"/>
          <w:shd w:val="clear" w:color="auto" w:fill="auto"/>
        </w:rPr>
        <w:t>取得了</w:t>
      </w:r>
      <w:r>
        <w:rPr>
          <w:rFonts w:eastAsia="仿宋" w:hint="eastAsia"/>
          <w:bCs/>
          <w:color w:val="000000"/>
          <w:sz w:val="32"/>
          <w:szCs w:val="32"/>
          <w:shd w:val="clear" w:color="auto" w:fill="auto"/>
        </w:rPr>
        <w:t>中国石油天然气股份有限公司西南油气田</w:t>
      </w:r>
      <w:r>
        <w:rPr>
          <w:rFonts w:eastAsia="仿宋" w:hint="eastAsia"/>
          <w:bCs/>
          <w:color w:val="000000"/>
          <w:sz w:val="32"/>
          <w:szCs w:val="32"/>
          <w:shd w:val="clear" w:color="auto" w:fill="auto"/>
          <w:lang w:eastAsia="zh-CN"/>
        </w:rPr>
        <w:t>分</w:t>
      </w:r>
      <w:r>
        <w:rPr>
          <w:rFonts w:eastAsia="仿宋" w:hint="eastAsia"/>
          <w:bCs/>
          <w:color w:val="000000"/>
          <w:sz w:val="32"/>
          <w:szCs w:val="32"/>
          <w:shd w:val="clear" w:color="auto" w:fill="auto"/>
        </w:rPr>
        <w:t>公司《关于</w:t>
      </w:r>
      <w:r>
        <w:rPr>
          <w:rFonts w:eastAsia="仿宋" w:hint="eastAsia"/>
          <w:bCs/>
          <w:color w:val="000000"/>
          <w:sz w:val="32"/>
          <w:szCs w:val="32"/>
          <w:shd w:val="clear" w:color="auto" w:fill="auto"/>
          <w:lang w:eastAsia="zh-CN"/>
        </w:rPr>
        <w:t>天府</w:t>
      </w:r>
      <w:r>
        <w:rPr>
          <w:rFonts w:eastAsia="仿宋" w:hint="eastAsia"/>
          <w:bCs/>
          <w:color w:val="000000"/>
          <w:sz w:val="32"/>
          <w:szCs w:val="32"/>
          <w:shd w:val="clear" w:color="auto" w:fill="auto"/>
          <w:lang w:val="en-US" w:eastAsia="zh-CN"/>
        </w:rPr>
        <w:t>8井</w:t>
      </w:r>
      <w:r>
        <w:rPr>
          <w:rFonts w:eastAsia="仿宋" w:hint="eastAsia"/>
          <w:bCs/>
          <w:color w:val="000000"/>
          <w:sz w:val="32"/>
          <w:szCs w:val="32"/>
          <w:shd w:val="clear" w:color="auto" w:fill="auto"/>
        </w:rPr>
        <w:t>井位的批复》（西南司资源[20</w:t>
      </w:r>
      <w:r>
        <w:rPr>
          <w:rFonts w:eastAsia="仿宋" w:hint="eastAsia"/>
          <w:bCs/>
          <w:color w:val="000000"/>
          <w:sz w:val="32"/>
          <w:szCs w:val="32"/>
          <w:shd w:val="clear" w:color="auto" w:fill="auto"/>
          <w:lang w:val="en-US" w:eastAsia="zh-CN"/>
        </w:rPr>
        <w:t>20</w:t>
      </w:r>
      <w:r>
        <w:rPr>
          <w:rFonts w:eastAsia="仿宋" w:hint="eastAsia"/>
          <w:bCs/>
          <w:color w:val="000000"/>
          <w:sz w:val="32"/>
          <w:szCs w:val="32"/>
          <w:shd w:val="clear" w:color="auto" w:fill="auto"/>
        </w:rPr>
        <w:t>]</w:t>
      </w:r>
      <w:r>
        <w:rPr>
          <w:rFonts w:eastAsia="仿宋" w:hint="eastAsia"/>
          <w:bCs/>
          <w:color w:val="000000"/>
          <w:sz w:val="32"/>
          <w:szCs w:val="32"/>
          <w:shd w:val="clear" w:color="auto" w:fill="auto"/>
          <w:lang w:val="en-US" w:eastAsia="zh-CN"/>
        </w:rPr>
        <w:t>6</w:t>
      </w:r>
      <w:r>
        <w:rPr>
          <w:rFonts w:eastAsia="仿宋" w:hint="eastAsia"/>
          <w:bCs/>
          <w:color w:val="000000"/>
          <w:sz w:val="32"/>
          <w:szCs w:val="32"/>
          <w:shd w:val="clear" w:color="auto" w:fill="auto"/>
        </w:rPr>
        <w:t>号）文件</w:t>
      </w:r>
      <w:r>
        <w:rPr>
          <w:rFonts w:eastAsia="仿宋"/>
          <w:bCs/>
          <w:color w:val="000000"/>
          <w:sz w:val="32"/>
          <w:szCs w:val="32"/>
          <w:shd w:val="clear" w:color="auto" w:fill="auto"/>
        </w:rPr>
        <w:t>，</w:t>
      </w:r>
      <w:r>
        <w:rPr>
          <w:rFonts w:eastAsia="仿宋" w:hint="eastAsia"/>
          <w:bCs/>
          <w:color w:val="000000"/>
          <w:sz w:val="32"/>
          <w:szCs w:val="32"/>
          <w:shd w:val="clear" w:color="auto" w:fill="auto"/>
        </w:rPr>
        <w:t>符合现行产业政策。</w:t>
      </w:r>
      <w:r>
        <w:rPr>
          <w:rFonts w:eastAsia="仿宋" w:hint="eastAsia"/>
          <w:bCs/>
          <w:color w:val="000000"/>
          <w:sz w:val="32"/>
          <w:szCs w:val="32"/>
          <w:shd w:val="clear" w:color="auto" w:fill="auto"/>
          <w:lang w:eastAsia="zh-CN"/>
        </w:rPr>
        <w:t>同时，项目取得了简阳市自然资源规划编制研究中心出具的</w:t>
      </w:r>
      <w:r>
        <w:rPr>
          <w:rFonts w:eastAsia="仿宋" w:hint="eastAsia"/>
          <w:bCs/>
          <w:color w:val="000000"/>
          <w:sz w:val="32"/>
          <w:szCs w:val="32"/>
          <w:shd w:val="clear" w:color="auto" w:fill="auto"/>
        </w:rPr>
        <w:t>《关于</w:t>
      </w:r>
      <w:r>
        <w:rPr>
          <w:rFonts w:eastAsia="仿宋" w:hint="eastAsia"/>
          <w:bCs/>
          <w:color w:val="000000"/>
          <w:sz w:val="32"/>
          <w:szCs w:val="32"/>
          <w:shd w:val="clear" w:color="auto" w:fill="auto"/>
          <w:lang w:eastAsia="zh-CN"/>
        </w:rPr>
        <w:t>确认拟建天府</w:t>
      </w:r>
      <w:r>
        <w:rPr>
          <w:rFonts w:eastAsia="仿宋" w:hint="eastAsia"/>
          <w:bCs/>
          <w:color w:val="000000"/>
          <w:sz w:val="32"/>
          <w:szCs w:val="32"/>
          <w:shd w:val="clear" w:color="auto" w:fill="auto"/>
          <w:lang w:val="en-US" w:eastAsia="zh-CN"/>
        </w:rPr>
        <w:t>8井选址意见</w:t>
      </w:r>
      <w:r>
        <w:rPr>
          <w:rFonts w:eastAsia="仿宋" w:hint="eastAsia"/>
          <w:bCs/>
          <w:color w:val="000000"/>
          <w:sz w:val="32"/>
          <w:szCs w:val="32"/>
          <w:shd w:val="clear" w:color="auto" w:fill="auto"/>
        </w:rPr>
        <w:t>的复</w:t>
      </w:r>
    </w:p>
    <w:p>
      <w:pPr>
        <w:wordWrap w:val="0"/>
        <w:adjustRightInd w:val="0"/>
        <w:snapToGrid w:val="0"/>
        <w:spacing w:line="640" w:lineRule="exact"/>
        <w:ind w:firstLineChars="200" w:firstLine="640"/>
        <w:jc w:val="left"/>
        <w:rPr>
          <w:rFonts w:eastAsia="仿宋"/>
          <w:bCs/>
          <w:color w:val="000000"/>
          <w:sz w:val="32"/>
          <w:szCs w:val="32"/>
          <w:shd w:val="clear" w:color="auto" w:fill="auto"/>
        </w:rPr>
      </w:pPr>
    </w:p>
    <w:p>
      <w:pPr>
        <w:wordWrap w:val="0"/>
        <w:adjustRightInd w:val="0"/>
        <w:snapToGrid w:val="0"/>
        <w:spacing w:line="640" w:lineRule="exact"/>
        <w:ind w:left="0"/>
        <w:jc w:val="left"/>
        <w:rPr>
          <w:rFonts w:eastAsia="仿宋" w:cs="宋体" w:hint="eastAsia"/>
          <w:color w:val="000000"/>
          <w:sz w:val="32"/>
          <w:szCs w:val="32"/>
          <w:shd w:val="clear" w:color="auto" w:fill="auto"/>
        </w:rPr>
      </w:pPr>
      <w:r>
        <w:rPr>
          <w:rFonts w:eastAsia="仿宋" w:hint="eastAsia"/>
          <w:bCs/>
          <w:color w:val="000000"/>
          <w:sz w:val="32"/>
          <w:szCs w:val="32"/>
          <w:shd w:val="clear" w:color="auto" w:fill="auto"/>
        </w:rPr>
        <w:t>函》</w:t>
      </w:r>
      <w:r>
        <w:rPr>
          <w:rFonts w:eastAsia="仿宋" w:hint="eastAsia"/>
          <w:bCs/>
          <w:color w:val="000000"/>
          <w:sz w:val="32"/>
          <w:szCs w:val="32"/>
          <w:shd w:val="clear" w:color="auto" w:fill="auto"/>
          <w:lang w:eastAsia="zh-CN"/>
        </w:rPr>
        <w:t>和与简阳市赤水街道深湾村村民委员会签订的《临时用地协议书》，</w:t>
      </w:r>
      <w:r>
        <w:rPr>
          <w:rFonts w:eastAsia="仿宋"/>
          <w:color w:val="000000"/>
          <w:sz w:val="32"/>
          <w:szCs w:val="32"/>
          <w:shd w:val="clear" w:color="auto" w:fill="auto"/>
        </w:rPr>
        <w:t>项目规划和用地取得相关许可。</w:t>
      </w:r>
      <w:r>
        <w:rPr>
          <w:rFonts w:eastAsia="仿宋" w:hint="eastAsia"/>
          <w:bCs/>
          <w:color w:val="000000"/>
          <w:sz w:val="32"/>
          <w:szCs w:val="32"/>
          <w:shd w:val="clear" w:color="auto" w:fill="auto"/>
        </w:rPr>
        <w:t>在落实报</w:t>
      </w:r>
      <w:r>
        <w:rPr>
          <w:rFonts w:eastAsia="仿宋" w:hint="eastAsia"/>
          <w:color w:val="000000"/>
          <w:sz w:val="32"/>
          <w:szCs w:val="32"/>
          <w:shd w:val="clear" w:color="auto" w:fill="auto"/>
        </w:rPr>
        <w:t>告表提出的防止生态破坏和环境污染的措施后，不利环境影响可得到减缓和控制。因此，我局同意你单位按照报告表中所列建设项目的性质、规模、地点、选线、环境保护对策措施及下述要求进行建设。</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二、项目建设应重点做好以下工作</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（一）</w:t>
      </w:r>
      <w:r>
        <w:rPr>
          <w:rFonts w:eastAsia="仿宋" w:cs="仿宋_GB2312" w:hint="eastAsia"/>
          <w:color w:val="000000"/>
          <w:sz w:val="32"/>
          <w:szCs w:val="32"/>
          <w:shd w:val="clear" w:color="auto" w:fill="auto"/>
        </w:rPr>
        <w:t>严格按“报告表”要求落实各项环保设施的建设，加强环保设施的日常管理和维护，确保环保设施正常运转及各类污染物稳定达标排放，杜绝事故排放。</w:t>
      </w:r>
    </w:p>
    <w:p>
      <w:pPr>
        <w:wordWrap w:val="0"/>
        <w:adjustRightInd w:val="0"/>
        <w:snapToGrid w:val="0"/>
        <w:spacing w:line="640" w:lineRule="exact"/>
        <w:ind w:firstLineChars="200" w:firstLine="640"/>
        <w:jc w:val="left"/>
        <w:rPr>
          <w:rFonts w:eastAsia="仿宋" w:hint="eastAsia"/>
          <w:color w:val="000000"/>
          <w:sz w:val="32"/>
          <w:szCs w:val="32"/>
          <w:shd w:val="clear" w:color="auto" w:fill="auto"/>
          <w:lang w:eastAsia="zh-CN"/>
        </w:rPr>
      </w:pPr>
      <w:r>
        <w:rPr>
          <w:rFonts w:eastAsia="仿宋" w:hint="eastAsia"/>
          <w:color w:val="000000"/>
          <w:sz w:val="32"/>
          <w:szCs w:val="32"/>
          <w:shd w:val="clear" w:color="auto" w:fill="auto"/>
        </w:rPr>
        <w:t>（二）落实废水处理措施。钻前工程期，施工废水经沉淀池处理后回用于工地，不外排；生活污水通过项目周边既有设施处理后资源化再利用</w:t>
      </w:r>
      <w:r>
        <w:rPr>
          <w:rFonts w:eastAsia="仿宋" w:hint="eastAsia"/>
          <w:color w:val="000000"/>
          <w:sz w:val="32"/>
          <w:szCs w:val="32"/>
          <w:shd w:val="clear" w:color="auto" w:fill="auto"/>
          <w:lang w:eastAsia="zh-CN"/>
        </w:rPr>
        <w:t>，不外排。</w:t>
      </w:r>
      <w:r>
        <w:rPr>
          <w:rFonts w:eastAsia="仿宋" w:hint="eastAsia"/>
          <w:color w:val="000000"/>
          <w:sz w:val="32"/>
          <w:szCs w:val="32"/>
          <w:shd w:val="clear" w:color="auto" w:fill="auto"/>
        </w:rPr>
        <w:t>钻井工程期，钻井废水、方井雨水经预处理后转运至有相应废水处置资质的公司处理后达标排放</w:t>
      </w:r>
      <w:r>
        <w:rPr>
          <w:rFonts w:eastAsia="仿宋" w:hint="eastAsia"/>
          <w:color w:val="000000"/>
          <w:sz w:val="32"/>
          <w:szCs w:val="32"/>
          <w:shd w:val="clear" w:color="auto" w:fill="auto"/>
          <w:lang w:eastAsia="zh-CN"/>
        </w:rPr>
        <w:t>；</w:t>
      </w:r>
      <w:r>
        <w:rPr>
          <w:rFonts w:eastAsia="仿宋" w:hint="eastAsia"/>
          <w:color w:val="000000"/>
          <w:sz w:val="32"/>
          <w:szCs w:val="32"/>
          <w:shd w:val="clear" w:color="auto" w:fill="auto"/>
        </w:rPr>
        <w:t>生活污水通过项目周边既有设施处理后资源化再利用</w:t>
      </w:r>
      <w:r>
        <w:rPr>
          <w:rFonts w:eastAsia="仿宋" w:hint="eastAsia"/>
          <w:color w:val="000000"/>
          <w:sz w:val="32"/>
          <w:szCs w:val="32"/>
          <w:shd w:val="clear" w:color="auto" w:fill="auto"/>
          <w:lang w:eastAsia="zh-CN"/>
        </w:rPr>
        <w:t>，不外排。</w:t>
      </w:r>
      <w:r>
        <w:rPr>
          <w:rFonts w:eastAsia="仿宋" w:hint="eastAsia"/>
          <w:color w:val="000000"/>
          <w:sz w:val="32"/>
          <w:szCs w:val="32"/>
          <w:shd w:val="clear" w:color="auto" w:fill="auto"/>
        </w:rPr>
        <w:t>完井工程期，洗井废水、酸化废水经预处理后转运至有相应废水处置资质的公司处理后达标排放</w:t>
      </w:r>
      <w:r>
        <w:rPr>
          <w:rFonts w:eastAsia="仿宋" w:hint="eastAsia"/>
          <w:color w:val="000000"/>
          <w:sz w:val="32"/>
          <w:szCs w:val="32"/>
          <w:shd w:val="clear" w:color="auto" w:fill="auto"/>
          <w:lang w:eastAsia="zh-CN"/>
        </w:rPr>
        <w:t>；</w:t>
      </w:r>
      <w:r>
        <w:rPr>
          <w:rFonts w:eastAsia="仿宋" w:hint="eastAsia"/>
          <w:color w:val="000000"/>
          <w:sz w:val="32"/>
          <w:szCs w:val="32"/>
          <w:shd w:val="clear" w:color="auto" w:fill="auto"/>
        </w:rPr>
        <w:t>生活污水通过项目周边既有设施处理后资源化再利用</w:t>
      </w:r>
      <w:r>
        <w:rPr>
          <w:rFonts w:eastAsia="仿宋" w:hint="eastAsia"/>
          <w:color w:val="000000"/>
          <w:sz w:val="32"/>
          <w:szCs w:val="32"/>
          <w:shd w:val="clear" w:color="auto" w:fill="auto"/>
          <w:lang w:eastAsia="zh-CN"/>
        </w:rPr>
        <w:t>，不外排。</w:t>
      </w:r>
    </w:p>
    <w:p>
      <w:pPr>
        <w:wordWrap w:val="0"/>
        <w:adjustRightInd w:val="0"/>
        <w:snapToGrid w:val="0"/>
        <w:spacing w:line="640" w:lineRule="exact"/>
        <w:ind w:firstLineChars="200" w:firstLine="640"/>
        <w:jc w:val="left"/>
        <w:rPr>
          <w:rFonts w:eastAsia="仿宋" w:hint="eastAsia"/>
          <w:color w:val="000000"/>
          <w:sz w:val="32"/>
          <w:szCs w:val="32"/>
          <w:shd w:val="clear" w:color="auto" w:fill="auto"/>
        </w:rPr>
      </w:pPr>
      <w:r>
        <w:rPr>
          <w:rFonts w:eastAsia="仿宋" w:hint="eastAsia"/>
          <w:color w:val="000000"/>
          <w:sz w:val="32"/>
          <w:szCs w:val="32"/>
          <w:shd w:val="clear" w:color="auto" w:fill="auto"/>
        </w:rPr>
        <w:t>（三）落实“报告表”提出的废气治理措施，确保大气污染物达标排放。钻前工程期，扬尘采取及时清扫洒落物料、洒水降尘等措施处理后达标排放；汽车尾气采取大气稀释的措施处理后达标排放。钻井工程期，柴油机尾气通过机器自带的消烟除尘装置处理后达标排放。完井工程期，测试放喷废气经专用放喷管线引入放喷坑燃烧处理后达标排放。</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（四）加强噪声污染控制，采取优化场地布局，合理安排施工时间，高噪声设备安装消声器、基座减振等措施处理后使噪声达标排放。</w:t>
      </w:r>
    </w:p>
    <w:p>
      <w:pPr>
        <w:wordWrap w:val="0"/>
        <w:adjustRightInd w:val="0"/>
        <w:snapToGrid w:val="0"/>
        <w:spacing w:line="640" w:lineRule="exact"/>
        <w:ind w:firstLineChars="200" w:firstLine="640"/>
        <w:rPr>
          <w:rFonts w:eastAsia="仿宋"/>
          <w:color w:val="000000"/>
          <w:sz w:val="32"/>
          <w:szCs w:val="32"/>
          <w:shd w:val="clear" w:color="auto" w:fill="auto"/>
        </w:rPr>
      </w:pPr>
      <w:r>
        <w:rPr>
          <w:rFonts w:eastAsia="仿宋" w:hint="eastAsia"/>
          <w:color w:val="000000"/>
          <w:sz w:val="32"/>
          <w:szCs w:val="32"/>
          <w:shd w:val="clear" w:color="auto" w:fill="auto"/>
        </w:rPr>
        <w:t>（五）固体废物应严格按照“报告表”中的处置措施落实去向。钻井工程期，水基岩屑、废水基泥浆经清洁化操作平台处理后定期转运至具有处理能力的砖厂回用；含油岩屑交由有危险废物处置资质的单位处理。全过程生产中，废油回收作为资源综合利用</w:t>
      </w:r>
      <w:r>
        <w:rPr>
          <w:rFonts w:eastAsia="仿宋" w:hint="eastAsia"/>
          <w:color w:val="000000"/>
          <w:sz w:val="32"/>
          <w:szCs w:val="32"/>
          <w:shd w:val="clear" w:color="auto" w:fill="auto"/>
          <w:lang w:eastAsia="zh-CN"/>
        </w:rPr>
        <w:t>，不外排</w:t>
      </w:r>
      <w:r>
        <w:rPr>
          <w:rFonts w:eastAsia="仿宋" w:hint="eastAsia"/>
          <w:color w:val="000000"/>
          <w:sz w:val="32"/>
          <w:szCs w:val="32"/>
          <w:shd w:val="clear" w:color="auto" w:fill="auto"/>
        </w:rPr>
        <w:t>；废包装材料交由废品回收站处理；生活垃圾交由当地环卫部门统一清运处理。</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（六）强化环境风险防范和应急措施。制定并落实应急预案和风险防范措施，杜绝污染事故的发生。加强环境风险防范工作，确保项目对环境的安全。</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（七）建设应注意解决好的其它问题，结合环评报告表及专家评估意见予以落实。</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三、项目建设必须严格执行环境保护设施与主体工程同时设计、同时施工、同时投产使用的环境保护“三同时”制度。项目竣工后，你单位必须按规定程序开展环境保护验收，应认真落实排污排污许可管理规定，在启动生产设施或者发生实际排污前，主动申请、变更排污许可证或填报排污登记表，违反本规定要求的，承担相应环境保护法律责任。</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四、项目开工前，应依法完备其他相关行政许可手续。</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五</w:t>
      </w:r>
      <w:r>
        <w:rPr>
          <w:rFonts w:eastAsia="仿宋" w:hint="eastAsia"/>
          <w:color w:val="000000"/>
          <w:sz w:val="32"/>
          <w:szCs w:val="32"/>
          <w:shd w:val="clear" w:color="auto" w:fill="auto"/>
        </w:rPr>
        <w:t>、请简阳市环境监察执法大队负责该项目日常的环境保护监督检查工作。</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六</w:t>
      </w:r>
      <w:r>
        <w:rPr>
          <w:rFonts w:eastAsia="仿宋" w:hint="eastAsia"/>
          <w:color w:val="000000"/>
          <w:sz w:val="32"/>
          <w:szCs w:val="32"/>
          <w:shd w:val="clear" w:color="auto" w:fill="auto"/>
        </w:rPr>
        <w:t>、行政复议与行政诉讼权利告知</w:t>
      </w:r>
      <w:r>
        <w:rPr>
          <w:rFonts w:eastAsia="仿宋"/>
          <w:color w:val="000000"/>
          <w:sz w:val="32"/>
          <w:szCs w:val="32"/>
          <w:shd w:val="clear" w:color="auto" w:fill="auto"/>
        </w:rPr>
        <w:t>。</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建设单位认为本批复侵犯其合法权益的，可以自收到本文件之日起六十日内向简阳市人民政府或者成都市</w:t>
      </w:r>
      <w:r>
        <w:rPr>
          <w:rFonts w:eastAsia="仿宋"/>
          <w:color w:val="000000"/>
          <w:sz w:val="32"/>
          <w:szCs w:val="32"/>
          <w:shd w:val="clear" w:color="auto" w:fill="auto"/>
        </w:rPr>
        <w:t>生态环境</w:t>
      </w:r>
      <w:r>
        <w:rPr>
          <w:rFonts w:eastAsia="仿宋" w:hint="eastAsia"/>
          <w:color w:val="000000"/>
          <w:sz w:val="32"/>
          <w:szCs w:val="32"/>
          <w:shd w:val="clear" w:color="auto" w:fill="auto"/>
        </w:rPr>
        <w:t>局提起行政复议，也可以自收到本文件之日起六个月内向简阳市人民法院行政诉讼。</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成都市简阳生态环境</w:t>
      </w:r>
      <w:r>
        <w:rPr>
          <w:rFonts w:eastAsia="仿宋" w:hint="eastAsia"/>
          <w:color w:val="000000"/>
          <w:sz w:val="32"/>
          <w:szCs w:val="32"/>
          <w:shd w:val="clear" w:color="auto" w:fill="auto"/>
        </w:rPr>
        <w:t>局联系方式</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电话：028——27028827</w:t>
      </w:r>
    </w:p>
    <w:p>
      <w:pPr>
        <w:wordWrap w:val="0"/>
        <w:spacing w:line="540" w:lineRule="exact"/>
        <w:ind w:firstLineChars="200" w:firstLine="640"/>
        <w:rPr>
          <w:rFonts w:ascii="仿宋_GB2312" w:eastAsia="仿宋_GB2312"/>
          <w:color w:val="000000"/>
          <w:sz w:val="32"/>
          <w:szCs w:val="32"/>
        </w:rPr>
      </w:pPr>
      <w:r>
        <w:rPr>
          <w:rFonts w:eastAsia="仿宋" w:hint="eastAsia"/>
          <w:color w:val="000000"/>
          <w:sz w:val="32"/>
          <w:szCs w:val="32"/>
          <w:shd w:val="clear" w:color="auto" w:fill="auto"/>
        </w:rPr>
        <w:t>通讯地址：</w:t>
      </w:r>
      <w:r>
        <w:rPr>
          <w:rFonts w:ascii="仿宋" w:eastAsia="仿宋" w:cs="仿宋_GB2312" w:hint="eastAsia"/>
          <w:color w:val="000000"/>
          <w:sz w:val="32"/>
          <w:szCs w:val="32"/>
          <w:lang w:bidi="ar-SA"/>
        </w:rPr>
        <w:t>四川省简阳市行政审批局生态环境局</w:t>
      </w:r>
      <w:r>
        <w:rPr>
          <w:rFonts w:ascii="仿宋_GB2312" w:eastAsia="仿宋_GB2312" w:hint="eastAsia"/>
          <w:color w:val="000000"/>
          <w:sz w:val="32"/>
          <w:szCs w:val="32"/>
        </w:rPr>
        <w:t>窗口</w:t>
      </w:r>
    </w:p>
    <w:p>
      <w:pPr>
        <w:wordWrap w:val="0"/>
        <w:spacing w:line="540" w:lineRule="exact"/>
        <w:ind w:left="0"/>
        <w:rPr>
          <w:rFonts w:ascii="仿宋_GB2312" w:eastAsia="仿宋_GB2312" w:hint="eastAsia"/>
          <w:color w:val="000000"/>
          <w:sz w:val="32"/>
          <w:szCs w:val="32"/>
        </w:rPr>
      </w:pPr>
      <w:r>
        <w:rPr>
          <w:rFonts w:ascii="仿宋_GB2312" w:eastAsia="仿宋_GB2312" w:hint="eastAsia"/>
          <w:color w:val="000000"/>
          <w:sz w:val="32"/>
          <w:szCs w:val="32"/>
        </w:rPr>
        <w:t>（641400）</w:t>
      </w:r>
    </w:p>
    <w:p>
      <w:pPr>
        <w:spacing w:line="430" w:lineRule="exact"/>
        <w:ind w:firstLineChars="250" w:firstLine="800"/>
        <w:jc w:val="left"/>
        <w:rPr>
          <w:rFonts w:ascii="仿宋_GB2312" w:eastAsia="仿宋_GB2312"/>
          <w:color w:val="000000"/>
          <w:sz w:val="32"/>
          <w:szCs w:val="32"/>
        </w:rPr>
      </w:pPr>
    </w:p>
    <w:p>
      <w:pPr>
        <w:adjustRightInd w:val="0"/>
        <w:snapToGrid w:val="0"/>
        <w:spacing w:line="640" w:lineRule="exact"/>
        <w:ind w:firstLineChars="200" w:firstLine="640"/>
        <w:jc w:val="left"/>
        <w:rPr>
          <w:rFonts w:eastAsia="仿宋" w:hint="eastAsia"/>
          <w:color w:val="000000"/>
          <w:sz w:val="32"/>
          <w:szCs w:val="32"/>
          <w:shd w:val="clear" w:color="auto" w:fill="auto"/>
        </w:rPr>
      </w:pPr>
      <w:r>
        <w:rPr>
          <w:rFonts w:eastAsia="仿宋" w:hint="eastAsia"/>
          <w:color w:val="000000"/>
          <w:sz w:val="32"/>
          <w:szCs w:val="32"/>
          <w:shd w:val="clear" w:color="auto" w:fill="auto"/>
        </w:rPr>
        <w:t xml:space="preserve">        </w:t>
      </w:r>
    </w:p>
    <w:p>
      <w:pPr>
        <w:adjustRightInd w:val="0"/>
        <w:snapToGrid w:val="0"/>
        <w:spacing w:line="640" w:lineRule="exact"/>
        <w:ind w:firstLineChars="200" w:firstLine="640"/>
        <w:jc w:val="left"/>
        <w:rPr>
          <w:rFonts w:eastAsia="仿宋" w:hint="eastAsia"/>
          <w:color w:val="000000"/>
          <w:sz w:val="32"/>
          <w:szCs w:val="32"/>
          <w:shd w:val="clear" w:color="auto" w:fill="auto"/>
        </w:rPr>
      </w:pPr>
      <w:r>
        <w:rPr>
          <w:rFonts w:eastAsia="仿宋" w:hint="eastAsia"/>
          <w:color w:val="000000"/>
          <w:sz w:val="32"/>
          <w:szCs w:val="32"/>
          <w:shd w:val="clear" w:color="auto" w:fill="auto"/>
        </w:rPr>
        <w:t xml:space="preserve">          </w:t>
      </w:r>
      <w:r>
        <w:rPr>
          <w:rFonts w:eastAsia="仿宋"/>
          <w:color w:val="000000"/>
          <w:sz w:val="32"/>
          <w:szCs w:val="32"/>
          <w:shd w:val="clear" w:color="auto" w:fill="auto"/>
        </w:rPr>
        <w:t xml:space="preserve">               </w:t>
      </w:r>
      <w:r>
        <w:rPr>
          <w:rFonts w:eastAsia="仿宋" w:hint="eastAsia"/>
          <w:color w:val="000000"/>
          <w:sz w:val="32"/>
          <w:szCs w:val="32"/>
          <w:shd w:val="clear" w:color="auto" w:fill="auto"/>
        </w:rPr>
        <w:t xml:space="preserve">   成都市简阳生态环境局</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 xml:space="preserve">           </w:t>
      </w:r>
      <w:r>
        <w:rPr>
          <w:rFonts w:eastAsia="仿宋"/>
          <w:color w:val="000000"/>
          <w:sz w:val="32"/>
          <w:szCs w:val="32"/>
          <w:shd w:val="clear" w:color="auto" w:fill="auto"/>
        </w:rPr>
        <w:t xml:space="preserve">                  </w:t>
      </w:r>
      <w:r>
        <w:rPr>
          <w:rFonts w:eastAsia="仿宋" w:hint="eastAsia"/>
          <w:color w:val="000000"/>
          <w:sz w:val="32"/>
          <w:szCs w:val="32"/>
          <w:shd w:val="clear" w:color="auto" w:fill="auto"/>
        </w:rPr>
        <w:t xml:space="preserve">   20</w:t>
      </w:r>
      <w:r>
        <w:rPr>
          <w:rFonts w:eastAsia="仿宋"/>
          <w:color w:val="000000"/>
          <w:sz w:val="32"/>
          <w:szCs w:val="32"/>
          <w:shd w:val="clear" w:color="auto" w:fill="auto"/>
        </w:rPr>
        <w:t>20</w:t>
      </w:r>
      <w:r>
        <w:rPr>
          <w:rFonts w:eastAsia="仿宋" w:hint="eastAsia"/>
          <w:color w:val="000000"/>
          <w:sz w:val="32"/>
          <w:szCs w:val="32"/>
          <w:shd w:val="clear" w:color="auto" w:fill="auto"/>
        </w:rPr>
        <w:t>年</w:t>
      </w:r>
      <w:r>
        <w:rPr>
          <w:rFonts w:eastAsia="仿宋"/>
          <w:color w:val="000000"/>
          <w:sz w:val="32"/>
          <w:szCs w:val="32"/>
          <w:shd w:val="clear" w:color="auto" w:fill="auto"/>
        </w:rPr>
        <w:t>4</w:t>
      </w:r>
      <w:r>
        <w:rPr>
          <w:rFonts w:eastAsia="仿宋" w:hint="eastAsia"/>
          <w:color w:val="000000"/>
          <w:sz w:val="32"/>
          <w:szCs w:val="32"/>
          <w:shd w:val="clear" w:color="auto" w:fill="auto"/>
        </w:rPr>
        <w:t>月</w:t>
      </w:r>
      <w:r>
        <w:rPr>
          <w:rFonts w:eastAsia="仿宋"/>
          <w:color w:val="000000"/>
          <w:sz w:val="32"/>
          <w:szCs w:val="32"/>
          <w:shd w:val="clear" w:color="auto" w:fill="auto"/>
        </w:rPr>
        <w:t>26</w:t>
      </w:r>
      <w:r>
        <w:rPr>
          <w:rFonts w:eastAsia="仿宋" w:hint="eastAsia"/>
          <w:color w:val="000000"/>
          <w:sz w:val="32"/>
          <w:szCs w:val="32"/>
          <w:shd w:val="clear" w:color="auto" w:fill="auto"/>
        </w:rPr>
        <w:t>日</w:t>
      </w:r>
    </w:p>
    <w:p>
      <w:pPr>
        <w:adjustRightInd w:val="0"/>
        <w:snapToGrid w:val="0"/>
        <w:spacing w:line="640" w:lineRule="exact"/>
        <w:ind w:firstLineChars="200" w:firstLine="640"/>
        <w:jc w:val="left"/>
        <w:rPr>
          <w:rFonts w:eastAsia="仿宋"/>
          <w:color w:val="000000"/>
          <w:sz w:val="32"/>
          <w:szCs w:val="32"/>
          <w:shd w:val="clear" w:color="auto" w:fill="auto"/>
        </w:rPr>
      </w:pPr>
    </w:p>
    <w:p>
      <w:pPr>
        <w:adjustRightInd w:val="0"/>
        <w:snapToGrid w:val="0"/>
        <w:spacing w:line="640" w:lineRule="exact"/>
        <w:ind w:firstLineChars="200" w:firstLine="640"/>
        <w:jc w:val="left"/>
        <w:rPr>
          <w:rFonts w:eastAsia="仿宋"/>
          <w:color w:val="000000"/>
          <w:sz w:val="32"/>
          <w:szCs w:val="32"/>
          <w:shd w:val="clear" w:color="auto" w:fill="auto"/>
        </w:rPr>
      </w:pPr>
    </w:p>
    <w:p>
      <w:pPr>
        <w:adjustRightInd w:val="0"/>
        <w:snapToGrid w:val="0"/>
        <w:spacing w:line="640" w:lineRule="exact"/>
        <w:ind w:left="0"/>
        <w:jc w:val="left"/>
        <w:rPr>
          <w:rFonts w:eastAsia="仿宋" w:hint="eastAsia"/>
          <w:color w:val="000000"/>
          <w:sz w:val="32"/>
          <w:szCs w:val="32"/>
          <w:shd w:val="clear" w:color="auto" w:fill="auto"/>
        </w:rPr>
      </w:pPr>
    </w:p>
    <w:p>
      <w:pPr>
        <w:spacing w:line="520" w:lineRule="exact"/>
        <w:ind w:left="1276" w:hangingChars="399" w:hanging="1276"/>
        <w:rPr>
          <w:rFonts w:ascii="仿宋_GB2312" w:eastAsia="仿宋_GB2312"/>
          <w:color w:val="000000"/>
          <w:sz w:val="32"/>
          <w:szCs w:val="32"/>
        </w:rPr>
      </w:pPr>
      <w:r>
        <w:rPr>
          <w:rFonts w:ascii="仿宋_GB2312" w:eastAsia="仿宋_GB2312"/>
          <w:color w:val="000000"/>
          <w:sz w:val="32"/>
          <w:szCs w:val="32"/>
        </w:rPr>
        <mc:AlternateContent>
          <mc:Choice Requires="wps">
            <w:drawing>
              <wp:anchor distT="0" distB="0" distL="91438" distR="91438" simplePos="0" relativeHeight="12" behindDoc="0" locked="0" layoutInCell="1" hidden="0" allowOverlap="1">
                <wp:simplePos x="0" y="0"/>
                <wp:positionH relativeFrom="column">
                  <wp:posOffset>0</wp:posOffset>
                </wp:positionH>
                <wp:positionV relativeFrom="paragraph">
                  <wp:posOffset>0</wp:posOffset>
                </wp:positionV>
                <wp:extent cx="5715000" cy="761"/>
                <wp:effectExtent l="0" t="0" r="0" b="0"/>
                <wp:wrapNone/>
                <wp:docPr id="1" name="直线 1"/>
                <wp:cNvGraphicFramePr>
                  <a:graphicFrameLocks noChangeAspect="0"/>
                </wp:cNvGraphicFramePr>
                <a:graphic>
                  <a:graphicData uri="http://schemas.microsoft.com/office/word/2010/wordprocessingShape">
                    <wps:wsp>
                      <wps:cNvSpPr/>
                      <wps:spPr>
                        <a:xfrm rot="0">
                          <a:off x="0" y="0"/>
                          <a:ext cx="5715000" cy="761"/>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2" o:spid="_x0000_s2" from="0.0pt,0.0pt" to="450.0pt,0.059999082pt" filled="f" stroked="t" style="position:absolute;z-index:12;mso-position-horizontal:absolute;mso-position-vertical:absolute;mso-wrap-distance-left:7.19989pt;mso-wrap-distance-right:7.19989pt;">
                <v:stroke color="#000000"/>
              </v:line>
            </w:pict>
          </mc:Fallback>
        </mc:AlternateContent>
      </w:r>
      <w:r>
        <w:rPr>
          <w:rFonts w:ascii="仿宋_GB2312" w:eastAsia="仿宋_GB2312" w:hint="eastAsia"/>
          <w:color w:val="000000"/>
          <w:sz w:val="32"/>
          <w:szCs w:val="32"/>
        </w:rPr>
        <w:t>抄  送：</w:t>
      </w:r>
      <w:r>
        <w:rPr>
          <w:rFonts w:ascii="仿宋_GB2312" w:eastAsia="仿宋_GB2312"/>
          <w:color w:val="000000"/>
          <w:sz w:val="32"/>
          <w:szCs w:val="32"/>
        </w:rPr>
        <w:t>局办公室、大气环境科、水生态环境科、污染防治综合科、农村生态科、应急和督察科、监察执法大队、监测站，</w:t>
      </w:r>
      <w:r>
        <w:rPr>
          <w:rFonts w:ascii="仿宋_GB2312" w:eastAsia="仿宋_GB2312" w:hint="eastAsia"/>
          <w:color w:val="000000"/>
          <w:sz w:val="32"/>
          <w:szCs w:val="32"/>
          <w:lang w:eastAsia="zh-CN"/>
        </w:rPr>
        <w:t>重庆九天环境影响评价有限公司</w:t>
      </w:r>
      <w:r>
        <w:rPr>
          <w:rFonts w:ascii="仿宋_GB2312" w:eastAsia="仿宋_GB2312"/>
          <w:color w:val="000000"/>
          <w:sz w:val="32"/>
          <w:szCs w:val="32"/>
        </w:rPr>
        <w:t>。</w:t>
      </w:r>
    </w:p>
    <w:p>
      <w:pPr>
        <w:spacing w:line="520" w:lineRule="exact"/>
        <w:ind w:left="1276" w:hangingChars="399" w:hanging="1276"/>
        <w:rPr>
          <w:rFonts w:ascii="仿宋_GB2312" w:eastAsia="仿宋_GB2312"/>
          <w:color w:val="000000"/>
          <w:sz w:val="32"/>
          <w:szCs w:val="32"/>
        </w:rPr>
      </w:pPr>
      <w:r>
        <w:rPr>
          <w:rFonts w:ascii="仿宋_GB2312" w:eastAsia="仿宋_GB2312"/>
          <w:sz w:val="32"/>
          <w:szCs w:val="32"/>
        </w:rPr>
        <mc:AlternateContent>
          <mc:Choice Requires="wps">
            <w:drawing>
              <wp:anchor distT="0" distB="0" distL="91438" distR="91438" simplePos="0" relativeHeight="13" behindDoc="0" locked="0" layoutInCell="1" hidden="0" allowOverlap="1">
                <wp:simplePos x="0" y="0"/>
                <wp:positionH relativeFrom="column">
                  <wp:posOffset>0</wp:posOffset>
                </wp:positionH>
                <wp:positionV relativeFrom="paragraph">
                  <wp:posOffset>0</wp:posOffset>
                </wp:positionV>
                <wp:extent cx="5715000" cy="761"/>
                <wp:effectExtent l="0" t="0" r="0" b="0"/>
                <wp:wrapNone/>
                <wp:docPr id="3" name="直线 3"/>
                <wp:cNvGraphicFramePr>
                  <a:graphicFrameLocks noChangeAspect="0"/>
                </wp:cNvGraphicFramePr>
                <a:graphic>
                  <a:graphicData uri="http://schemas.microsoft.com/office/word/2010/wordprocessingShape">
                    <wps:wsp>
                      <wps:cNvSpPr/>
                      <wps:spPr>
                        <a:xfrm rot="0">
                          <a:off x="0" y="0"/>
                          <a:ext cx="5715000" cy="761"/>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4" o:spid="_x0000_s4" from="0.0pt,0.0pt" to="450.0pt,0.059999082pt" filled="f" stroked="t" style="position:absolute;z-index:13;mso-position-horizontal:absolute;mso-position-vertical:absolute;mso-wrap-distance-left:7.19989pt;mso-wrap-distance-right:7.19989pt;">
                <v:stroke color="#000000"/>
              </v:line>
            </w:pict>
          </mc:Fallback>
        </mc:AlternateContent>
      </w:r>
      <w:r>
        <w:rPr>
          <w:rFonts w:ascii="仿宋_GB2312" w:eastAsia="仿宋_GB2312"/>
          <w:sz w:val="32"/>
          <w:szCs w:val="32"/>
        </w:rPr>
        <w:t>成都市</w:t>
      </w:r>
      <w:r>
        <w:rPr>
          <w:rFonts w:ascii="仿宋_GB2312" w:eastAsia="仿宋_GB2312" w:hint="eastAsia"/>
          <w:sz w:val="32"/>
          <w:szCs w:val="32"/>
        </w:rPr>
        <w:t>简阳</w:t>
      </w:r>
      <w:r>
        <w:rPr>
          <w:rFonts w:ascii="仿宋_GB2312" w:eastAsia="仿宋_GB2312"/>
          <w:sz w:val="32"/>
          <w:szCs w:val="32"/>
        </w:rPr>
        <w:t>生态环境</w:t>
      </w:r>
      <w:r>
        <w:rPr>
          <w:rFonts w:ascii="仿宋_GB2312" w:eastAsia="仿宋_GB2312" w:hint="eastAsia"/>
          <w:sz w:val="32"/>
          <w:szCs w:val="32"/>
        </w:rPr>
        <w:t>局</w:t>
      </w:r>
      <w:r>
        <w:rPr>
          <w:rFonts w:ascii="仿宋_GB2312" w:eastAsia="仿宋_GB2312"/>
          <w:sz w:val="32"/>
          <w:szCs w:val="32"/>
        </w:rPr>
        <w:t>法规和审批科</w:t>
      </w:r>
      <w:r>
        <w:rPr>
          <w:rFonts w:ascii="仿宋_GB2312" w:eastAsia="仿宋_GB2312" w:hint="eastAsia"/>
          <w:sz w:val="32"/>
          <w:szCs w:val="32"/>
        </w:rPr>
        <w:t xml:space="preserve">　 </w:t>
      </w:r>
      <w:r>
        <w:rPr>
          <w:rFonts w:ascii="仿宋_GB2312" w:eastAsia="仿宋_GB2312"/>
          <w:sz w:val="32"/>
          <w:szCs w:val="32"/>
        </w:rPr>
        <w:t xml:space="preserve">  2020年4月26日</w:t>
      </w:r>
      <w:r>
        <w:rPr>
          <w:rFonts w:ascii="仿宋_GB2312" w:eastAsia="仿宋_GB2312" w:hint="eastAsia"/>
          <w:color w:val="000000"/>
          <w:sz w:val="32"/>
          <w:szCs w:val="32"/>
        </w:rPr>
        <w:t>印</w:t>
      </w:r>
    </w:p>
    <w:p>
      <w:pPr>
        <w:spacing w:line="0" w:lineRule="atLeast"/>
        <w:jc w:val="center"/>
      </w:pPr>
      <w:r>
        <w:rPr>
          <w:rFonts w:ascii="仿宋_GB2312" w:eastAsia="仿宋_GB2312"/>
          <w:sz w:val="32"/>
          <w:szCs w:val="32"/>
        </w:rPr>
        <mc:AlternateContent>
          <mc:Choice Requires="wps">
            <w:drawing>
              <wp:anchor distT="0" distB="0" distL="91438" distR="91438" simplePos="0" relativeHeight="14" behindDoc="0" locked="0" layoutInCell="1" hidden="0" allowOverlap="1">
                <wp:simplePos x="0" y="0"/>
                <wp:positionH relativeFrom="column">
                  <wp:posOffset>0</wp:posOffset>
                </wp:positionH>
                <wp:positionV relativeFrom="paragraph">
                  <wp:posOffset>14629</wp:posOffset>
                </wp:positionV>
                <wp:extent cx="5715000" cy="761"/>
                <wp:effectExtent l="0" t="0" r="0" b="0"/>
                <wp:wrapNone/>
                <wp:docPr id="5" name="直线 5"/>
                <wp:cNvGraphicFramePr>
                  <a:graphicFrameLocks noChangeAspect="0"/>
                </wp:cNvGraphicFramePr>
                <a:graphic>
                  <a:graphicData uri="http://schemas.microsoft.com/office/word/2010/wordprocessingShape">
                    <wps:wsp>
                      <wps:cNvSpPr/>
                      <wps:spPr>
                        <a:xfrm rot="0">
                          <a:off x="0" y="0"/>
                          <a:ext cx="5715000" cy="761"/>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6" o:spid="_x0000_s6" from="0.0pt,1.1519356pt" to="450.0pt,1.2119347pt" filled="f" stroked="t" style="position:absolute;z-index:14;mso-position-horizontal:absolute;mso-position-vertical:absolute;mso-wrap-distance-left:7.19989pt;mso-wrap-distance-right:7.19989pt;">
                <v:stroke color="#000000"/>
              </v:line>
            </w:pict>
          </mc:Fallback>
        </mc:AlternateContent>
      </w:r>
      <w:r>
        <w:rPr>
          <w:rFonts w:ascii="仿宋_GB2312" w:eastAsia="仿宋_GB2312" w:hint="eastAsia"/>
          <w:sz w:val="32"/>
          <w:szCs w:val="32"/>
        </w:rPr>
        <w:t>　　　　　　　　　　　　　　      　</w:t>
      </w:r>
    </w:p>
    <w:sectPr>
      <w:headerReference w:type="default" r:id="rId2"/>
      <w:footerReference w:type="default" r:id="rId3"/>
      <w:footerReference w:type="even" r:id="rId4"/>
      <w:pgSz w:w="11907" w:h="16840"/>
      <w:pgMar w:top="1361" w:right="1588" w:bottom="1134" w:left="1701" w:header="851" w:footer="992" w:gutter="0"/>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altName w:val="仿宋"/>
    <w:panose1 w:val="00000000000000000000"/>
    <w:charset w:val="86"/>
    <w:family w:val="modern"/>
    <w:pitch w:val="variable"/>
    <w:sig w:usb0="00000000" w:usb1="00000000" w:usb2="00000000" w:usb3="00000000" w:csb0="00040000"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Arial">
    <w:panose1 w:val="020B0604020202020204"/>
    <w:charset w:val="01"/>
    <w:family w:val="swiss"/>
    <w:pitch w:val="variable"/>
    <w:sig w:usb0="E0002AFF" w:usb1="C0007843" w:usb2="00000009" w:usb3="00000000" w:csb0="400001FF" w:csb1="FFFF0000"/>
  </w:font>
  <w:font w:name="等线">
    <w:altName w:val="微软雅黑"/>
    <w:panose1 w:val="00000000000000000000"/>
    <w:charset w:val="86"/>
    <w:family w:val="auto"/>
    <w:pitch w:val="variable"/>
    <w:sig w:usb0="00000000" w:usb1="00000000" w:usb2="00000016" w:usb3="00000000" w:csb0="0004000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24"/>
      </w:rPr>
      <w:fldChar w:fldCharType="begin"/>
    </w:r>
    <w:r>
      <w:rPr>
        <w:rStyle w:val="24"/>
      </w:rPr>
      <w:instrText>Page</w:instrText>
    </w:r>
    <w:r>
      <w:rPr>
        <w:rStyle w:val="24"/>
      </w:rPr>
      <w:fldChar w:fldCharType="separate"/>
    </w:r>
    <w:r>
      <w:rPr>
        <w:rStyle w:val="24"/>
      </w:rPr>
      <w:t>1</w:t>
    </w:r>
    <w:r>
      <w:rPr>
        <w:rStyle w:val="24"/>
      </w:rPr>
      <w:fldChar w:fldCharType="end"/>
    </w:r>
  </w:p>
  <w:p>
    <w:pPr>
      <w:pStyle w:val="18"/>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24"/>
      </w:rPr>
      <w:fldChar w:fldCharType="begin"/>
    </w:r>
    <w:r>
      <w:rPr>
        <w:rStyle w:val="24"/>
      </w:rPr>
      <w:instrText>Page</w:instrText>
    </w:r>
    <w:r>
      <w:rPr>
        <w:rStyle w:val="24"/>
      </w:rPr>
      <w:fldChar w:fldCharType="separate"/>
    </w:r>
    <w:r>
      <w:rPr>
        <w:rStyle w:val="24"/>
      </w:rPr>
      <w:t>1</w:t>
    </w:r>
    <w:r>
      <w:rPr>
        <w:rStyle w:val="24"/>
      </w:rPr>
      <w:fldChar w:fldCharType="end"/>
    </w:r>
  </w:p>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B583AAF6"/>
    <w:multiLevelType w:val="singleLevel"/>
    <w:tmpl w:val="B583AAF6"/>
    <w:lvl w:ilvl="0">
      <w:start w:val="1"/>
      <w:numFmt w:val="decimal"/>
      <w:lvlRestart w:val="0"/>
      <w:pStyle w:val="16"/>
      <w:lvlText w:val="%1."/>
      <w:lvlJc w:val="left"/>
      <w:pPr>
        <w:tabs>
          <w:tab w:val="num" w:pos="0"/>
        </w:tabs>
        <w:ind w:left="1200" w:hanging="36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character" w:default="1" w:styleId="10">
    <w:name w:val="Default Paragraph Font"/>
  </w:style>
  <w:style w:type="paragraph" w:styleId="15">
    <w:name w:val="Body Text Indent"/>
    <w:basedOn w:val="0"/>
    <w:pPr>
      <w:spacing w:after="120"/>
      <w:ind w:left="420"/>
    </w:pPr>
  </w:style>
  <w:style w:type="paragraph" w:styleId="16">
    <w:name w:val="List Number 3"/>
    <w:basedOn w:val="0"/>
    <w:pPr>
      <w:numPr>
        <w:ilvl w:val="0"/>
        <w:numId w:val="1"/>
      </w:numPr>
    </w:pPr>
  </w:style>
  <w:style w:type="paragraph" w:styleId="17">
    <w:name w:val="Body Text Indent 2"/>
    <w:pPr>
      <w:widowControl w:val="0"/>
      <w:adjustRightInd w:val="0"/>
      <w:snapToGrid w:val="0"/>
      <w:spacing w:line="360" w:lineRule="auto"/>
      <w:ind w:firstLineChars="200" w:firstLine="200"/>
      <w:jc w:val="both"/>
      <w:textAlignment w:val="center"/>
    </w:pPr>
    <w:rPr>
      <w:rFonts w:ascii="Times New Roman" w:eastAsia="宋体" w:cs="Times New Roman" w:hAnsi="Times New Roman"/>
      <w:snapToGrid w:val="0"/>
      <w:color w:val="000000"/>
      <w:kern w:val="0"/>
      <w:sz w:val="24"/>
      <w:szCs w:val="24"/>
      <w:lang w:val="en-US" w:eastAsia="zh-CN" w:bidi="ar-SA"/>
    </w:rPr>
  </w:style>
  <w:style w:type="paragraph" w:styleId="18">
    <w:name w:val="footer"/>
    <w:basedOn w:val="0"/>
    <w:pPr>
      <w:tabs>
        <w:tab w:val="center" w:pos="4153"/>
        <w:tab w:val="right" w:pos="8306"/>
      </w:tabs>
      <w:snapToGrid w:val="0"/>
      <w:jc w:val="left"/>
    </w:pPr>
    <w:rPr>
      <w:sz w:val="18"/>
      <w:szCs w:val="18"/>
    </w:rPr>
  </w:style>
  <w:style w:type="paragraph" w:styleId="19">
    <w:name w:val="header"/>
    <w:next w:val="20"/>
    <w:pPr>
      <w:widowControl w:val="0"/>
      <w:pBdr>
        <w:bottom w:val="single" w:sz="6" w:space="1" w:color="auto"/>
      </w:pBdr>
      <w:tabs>
        <w:tab w:val="center" w:pos="4153"/>
        <w:tab w:val="right" w:pos="8306"/>
      </w:tabs>
      <w:snapToGrid w:val="0"/>
      <w:jc w:val="center"/>
    </w:pPr>
    <w:rPr>
      <w:rFonts w:ascii="Times New Roman" w:eastAsia="宋体" w:cs="Times New Roman" w:hAnsi="Times New Roman"/>
      <w:kern w:val="2"/>
      <w:sz w:val="18"/>
      <w:szCs w:val="18"/>
      <w:lang w:val="en-US" w:eastAsia="zh-CN" w:bidi="ar-SA"/>
    </w:rPr>
  </w:style>
  <w:style w:type="paragraph" w:customStyle="1" w:styleId="20">
    <w:name w:val="正文2"/>
    <w:next w:val="21"/>
    <w:pPr>
      <w:widowControl w:val="0"/>
      <w:adjustRightInd w:val="0"/>
      <w:spacing w:line="360" w:lineRule="auto"/>
      <w:ind w:firstLineChars="200" w:firstLine="200"/>
      <w:jc w:val="both"/>
      <w:textAlignment w:val="baseline"/>
    </w:pPr>
    <w:rPr>
      <w:rFonts w:ascii="宋体" w:eastAsia="宋体" w:cs="Times New Roman"/>
      <w:kern w:val="0"/>
      <w:sz w:val="24"/>
      <w:szCs w:val="28"/>
      <w:lang w:val="en-US" w:eastAsia="zh-CN" w:bidi="ar-SA"/>
    </w:rPr>
  </w:style>
  <w:style w:type="paragraph" w:styleId="21">
    <w:name w:val="toc 6"/>
    <w:basedOn w:val="0"/>
    <w:next w:val="0"/>
    <w:pPr>
      <w:ind w:leftChars="1000" w:left="1000"/>
    </w:pPr>
  </w:style>
  <w:style w:type="paragraph" w:styleId="22">
    <w:name w:val="index heading"/>
    <w:basedOn w:val="0"/>
    <w:next w:val="23"/>
    <w:rPr>
      <w:rFonts w:ascii="Arial" w:hAnsi="Arial"/>
      <w:b/>
    </w:rPr>
  </w:style>
  <w:style w:type="paragraph" w:styleId="23">
    <w:name w:val="index 1"/>
    <w:basedOn w:val="0"/>
    <w:next w:val="0"/>
  </w:style>
  <w:style w:type="character" w:styleId="24">
    <w:name w:val="page number"/>
    <w:basedOn w:val="10"/>
  </w:style>
  <w:style w:type="paragraph" w:customStyle="1" w:styleId="25">
    <w:name w:val="报告书"/>
    <w:next w:val="22"/>
    <w:pPr>
      <w:widowControl w:val="0"/>
      <w:autoSpaceDE w:val="0"/>
      <w:autoSpaceDN w:val="0"/>
      <w:adjustRightInd w:val="0"/>
      <w:spacing w:line="360" w:lineRule="auto"/>
      <w:ind w:firstLine="505"/>
      <w:jc w:val="left"/>
      <w:textAlignment w:val="bottom"/>
    </w:pPr>
    <w:rPr>
      <w:rFonts w:ascii="等线" w:eastAsia="等线" w:cs="Arial"/>
      <w:kern w:val="2"/>
      <w:sz w:val="24"/>
      <w:szCs w:val="22"/>
      <w:lang w:val="en-US" w:eastAsia="zh-CN" w:bidi="ar-SA"/>
    </w:rPr>
  </w:style>
  <w:style w:type="paragraph" w:customStyle="1" w:styleId="26">
    <w:name w:val="报告"/>
    <w:next w:val="16"/>
    <w:pPr>
      <w:widowControl w:val="0"/>
      <w:adjustRightInd w:val="0"/>
      <w:spacing w:line="360" w:lineRule="auto"/>
      <w:ind w:firstLine="505"/>
      <w:jc w:val="both"/>
      <w:textAlignment w:val="baseline"/>
    </w:pPr>
    <w:rPr>
      <w:rFonts w:ascii="Times New Roman" w:eastAsia="宋体" w:cs="Times New Roman" w:hAnsi="Times New Roman"/>
      <w:kern w:val="0"/>
      <w:sz w:val="24"/>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numbering" Target="numbering.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Application>
  <Pages>4</Pages>
  <Words>1735</Words>
  <Characters>1781</Characters>
  <Lines>90</Lines>
  <Paragraphs>31</Paragraphs>
  <CharactersWithSpaces>1876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FC</dc:creator>
  <cp:lastModifiedBy>Microsoft</cp:lastModifiedBy>
  <cp:revision>8</cp:revision>
  <cp:lastPrinted>2020-04-26T03:33:25Z</cp:lastPrinted>
  <dcterms:created xsi:type="dcterms:W3CDTF">2017-07-17T06:28:00Z</dcterms:created>
  <dcterms:modified xsi:type="dcterms:W3CDTF">2020-04-26T03:36:05Z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2052-11.3.0.8632</vt:lpwstr>
  </property>
</Properties>
</file>